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286B5">
      <w:pPr>
        <w:pStyle w:val="20"/>
        <w:spacing w:line="440" w:lineRule="exact"/>
        <w:ind w:firstLine="0"/>
        <w:jc w:val="center"/>
        <w:outlineLvl w:val="0"/>
        <w:rPr>
          <w:rFonts w:hint="eastAsia" w:ascii="方正仿宋_GB2312" w:hAnsi="方正仿宋_GB2312" w:eastAsia="方正仿宋_GB2312" w:cs="方正仿宋_GB2312"/>
          <w:sz w:val="40"/>
          <w:szCs w:val="40"/>
          <w:highlight w:val="none"/>
        </w:rPr>
      </w:pPr>
    </w:p>
    <w:p w14:paraId="5A1F437B">
      <w:pPr>
        <w:pStyle w:val="20"/>
        <w:spacing w:line="440" w:lineRule="exact"/>
        <w:ind w:firstLine="0"/>
        <w:jc w:val="center"/>
        <w:outlineLvl w:val="0"/>
        <w:rPr>
          <w:rFonts w:hint="eastAsia" w:ascii="仿宋_GB2312" w:hAnsi="仿宋_GB2312" w:eastAsia="仿宋_GB2312"/>
          <w:b/>
          <w:bCs/>
          <w:sz w:val="28"/>
          <w:szCs w:val="28"/>
          <w:highlight w:val="none"/>
        </w:rPr>
      </w:pPr>
      <w:r>
        <w:rPr>
          <w:rFonts w:hint="eastAsia" w:ascii="方正仿宋_GB2312" w:hAnsi="方正仿宋_GB2312" w:eastAsia="方正仿宋_GB2312" w:cs="方正仿宋_GB2312"/>
          <w:b/>
          <w:bCs/>
          <w:sz w:val="40"/>
          <w:szCs w:val="40"/>
          <w:highlight w:val="none"/>
          <w:lang w:eastAsia="zh-CN"/>
        </w:rPr>
        <w:t>南方医科大学</w:t>
      </w:r>
      <w:r>
        <w:rPr>
          <w:rFonts w:hint="eastAsia" w:ascii="方正仿宋_GB2312" w:hAnsi="方正仿宋_GB2312" w:eastAsia="方正仿宋_GB2312" w:cs="方正仿宋_GB2312"/>
          <w:b/>
          <w:bCs/>
          <w:sz w:val="40"/>
          <w:szCs w:val="40"/>
          <w:highlight w:val="none"/>
          <w:lang w:val="en-US" w:eastAsia="zh-CN"/>
        </w:rPr>
        <w:t>中西医结合医院</w:t>
      </w:r>
      <w:r>
        <w:rPr>
          <w:rFonts w:hint="eastAsia" w:ascii="方正仿宋_GB2312" w:hAnsi="方正仿宋_GB2312" w:eastAsia="方正仿宋_GB2312" w:cs="方正仿宋_GB2312"/>
          <w:b/>
          <w:bCs/>
          <w:sz w:val="40"/>
          <w:szCs w:val="40"/>
          <w:highlight w:val="none"/>
          <w:lang w:eastAsia="zh-CN"/>
        </w:rPr>
        <w:t>医保移动支付新国标接口改造项目</w:t>
      </w:r>
      <w:r>
        <w:rPr>
          <w:rFonts w:hint="eastAsia" w:ascii="仿宋_GB2312" w:hAnsi="仿宋_GB2312" w:eastAsia="仿宋_GB2312"/>
          <w:b/>
          <w:bCs/>
          <w:sz w:val="28"/>
          <w:szCs w:val="28"/>
          <w:highlight w:val="none"/>
        </w:rPr>
        <w:br w:type="page"/>
      </w:r>
    </w:p>
    <w:p w14:paraId="44371929">
      <w:pPr>
        <w:pStyle w:val="20"/>
        <w:numPr>
          <w:ilvl w:val="0"/>
          <w:numId w:val="1"/>
        </w:numPr>
        <w:spacing w:after="156" w:afterLines="50" w:line="440" w:lineRule="exact"/>
        <w:jc w:val="center"/>
        <w:outlineLvl w:val="1"/>
        <w:rPr>
          <w:rFonts w:hint="eastAsia" w:ascii="仿宋_GB2312" w:hAnsi="仿宋_GB2312" w:eastAsia="仿宋_GB2312"/>
          <w:b/>
          <w:bCs/>
          <w:sz w:val="28"/>
          <w:szCs w:val="28"/>
          <w:highlight w:val="none"/>
        </w:rPr>
      </w:pPr>
      <w:r>
        <w:rPr>
          <w:rFonts w:hint="eastAsia" w:ascii="仿宋_GB2312" w:hAnsi="仿宋_GB2312" w:eastAsia="仿宋_GB2312"/>
          <w:b/>
          <w:bCs/>
          <w:sz w:val="28"/>
          <w:szCs w:val="28"/>
          <w:highlight w:val="none"/>
        </w:rPr>
        <w:t>用户需求</w:t>
      </w:r>
    </w:p>
    <w:p w14:paraId="5F90B306">
      <w:pPr>
        <w:pStyle w:val="20"/>
        <w:spacing w:line="440" w:lineRule="exact"/>
        <w:ind w:left="0"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有关说明：投标人响应参数需求应具体、明确，含糊不清、不确切或伪造、变造证明材料的，构成提供虚假材料的，将承担相关责任。</w:t>
      </w:r>
    </w:p>
    <w:p w14:paraId="11A644C9">
      <w:pPr>
        <w:pStyle w:val="20"/>
        <w:spacing w:line="440" w:lineRule="exact"/>
        <w:ind w:left="561" w:firstLine="0"/>
        <w:rPr>
          <w:rFonts w:hint="eastAsia" w:ascii="宋体" w:hAnsi="宋体" w:eastAsia="宋体" w:cs="宋体"/>
          <w:sz w:val="24"/>
          <w:szCs w:val="24"/>
          <w:highlight w:val="none"/>
        </w:rPr>
      </w:pPr>
    </w:p>
    <w:p w14:paraId="464F85CE">
      <w:pPr>
        <w:pStyle w:val="9"/>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项目一览表</w:t>
      </w:r>
    </w:p>
    <w:tbl>
      <w:tblPr>
        <w:tblStyle w:val="15"/>
        <w:tblW w:w="7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3310"/>
        <w:gridCol w:w="709"/>
        <w:gridCol w:w="1227"/>
        <w:gridCol w:w="1672"/>
      </w:tblGrid>
      <w:tr w14:paraId="51EB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9" w:type="dxa"/>
            <w:vAlign w:val="center"/>
          </w:tcPr>
          <w:p w14:paraId="24023C60">
            <w:pPr>
              <w:spacing w:line="44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3310" w:type="dxa"/>
            <w:vAlign w:val="center"/>
          </w:tcPr>
          <w:p w14:paraId="047A4CF1">
            <w:pPr>
              <w:spacing w:line="44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采购内容</w:t>
            </w:r>
          </w:p>
        </w:tc>
        <w:tc>
          <w:tcPr>
            <w:tcW w:w="709" w:type="dxa"/>
            <w:vAlign w:val="center"/>
          </w:tcPr>
          <w:p w14:paraId="065DFC2C">
            <w:pPr>
              <w:widowControl/>
              <w:spacing w:line="440" w:lineRule="exact"/>
              <w:jc w:val="cente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kern w:val="0"/>
                <w:sz w:val="24"/>
                <w:szCs w:val="24"/>
                <w:highlight w:val="none"/>
              </w:rPr>
              <w:t>数量</w:t>
            </w:r>
          </w:p>
        </w:tc>
        <w:tc>
          <w:tcPr>
            <w:tcW w:w="1227" w:type="dxa"/>
            <w:vAlign w:val="center"/>
          </w:tcPr>
          <w:p w14:paraId="731815E6">
            <w:pPr>
              <w:widowControl/>
              <w:spacing w:line="440" w:lineRule="exact"/>
              <w:jc w:val="center"/>
              <w:rPr>
                <w:rFonts w:hint="eastAsia" w:ascii="宋体" w:hAnsi="宋体" w:eastAsia="宋体" w:cs="宋体"/>
                <w:b/>
                <w:color w:val="000000"/>
                <w:sz w:val="24"/>
                <w:szCs w:val="24"/>
                <w:highlight w:val="none"/>
              </w:rPr>
            </w:pPr>
            <w:r>
              <w:rPr>
                <w:rFonts w:hint="eastAsia" w:ascii="宋体" w:hAnsi="宋体" w:eastAsia="宋体" w:cs="宋体"/>
                <w:b/>
                <w:bCs/>
                <w:kern w:val="0"/>
                <w:sz w:val="24"/>
                <w:szCs w:val="24"/>
                <w:highlight w:val="none"/>
              </w:rPr>
              <w:t>单位</w:t>
            </w:r>
          </w:p>
        </w:tc>
        <w:tc>
          <w:tcPr>
            <w:tcW w:w="1672" w:type="dxa"/>
            <w:vAlign w:val="center"/>
          </w:tcPr>
          <w:p w14:paraId="39165F08">
            <w:pPr>
              <w:widowControl/>
              <w:spacing w:line="440" w:lineRule="exact"/>
              <w:jc w:val="center"/>
              <w:rPr>
                <w:rFonts w:hint="eastAsia" w:ascii="宋体" w:hAnsi="宋体" w:eastAsia="宋体" w:cs="宋体"/>
                <w:b/>
                <w:color w:val="000000"/>
                <w:sz w:val="24"/>
                <w:szCs w:val="24"/>
                <w:highlight w:val="none"/>
              </w:rPr>
            </w:pPr>
            <w:r>
              <w:rPr>
                <w:rFonts w:hint="eastAsia" w:ascii="宋体" w:hAnsi="宋体" w:eastAsia="宋体" w:cs="宋体"/>
                <w:b/>
                <w:bCs/>
                <w:kern w:val="0"/>
                <w:sz w:val="24"/>
                <w:szCs w:val="24"/>
                <w:highlight w:val="none"/>
              </w:rPr>
              <w:t>最高限价（元）</w:t>
            </w:r>
          </w:p>
        </w:tc>
      </w:tr>
      <w:tr w14:paraId="5016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99" w:type="dxa"/>
            <w:vAlign w:val="center"/>
          </w:tcPr>
          <w:p w14:paraId="365BE56C">
            <w:pPr>
              <w:widowControl/>
              <w:numPr>
                <w:ilvl w:val="0"/>
                <w:numId w:val="3"/>
              </w:numPr>
              <w:spacing w:line="440" w:lineRule="exact"/>
              <w:ind w:left="425" w:hanging="425"/>
              <w:jc w:val="center"/>
              <w:textAlignment w:val="center"/>
              <w:rPr>
                <w:rFonts w:hint="eastAsia" w:ascii="宋体" w:hAnsi="宋体" w:eastAsia="宋体" w:cs="宋体"/>
                <w:color w:val="000000"/>
                <w:sz w:val="24"/>
                <w:szCs w:val="24"/>
                <w:highlight w:val="none"/>
              </w:rPr>
            </w:pPr>
          </w:p>
        </w:tc>
        <w:tc>
          <w:tcPr>
            <w:tcW w:w="3310" w:type="dxa"/>
            <w:vAlign w:val="center"/>
          </w:tcPr>
          <w:p w14:paraId="0264B6E9">
            <w:pPr>
              <w:widowControl/>
              <w:spacing w:line="440" w:lineRule="exact"/>
              <w:jc w:val="center"/>
              <w:textAlignment w:val="center"/>
              <w:rPr>
                <w:rFonts w:hint="eastAsia" w:ascii="宋体" w:hAnsi="宋体" w:cs="宋体"/>
                <w:b/>
                <w:color w:val="000000"/>
                <w:sz w:val="24"/>
                <w:szCs w:val="24"/>
                <w:highlight w:val="none"/>
                <w:u w:val="single"/>
                <w:lang w:eastAsia="zh-CN"/>
              </w:rPr>
            </w:pPr>
            <w:r>
              <w:rPr>
                <w:rFonts w:hint="eastAsia" w:ascii="宋体" w:hAnsi="宋体" w:cs="宋体"/>
                <w:b/>
                <w:color w:val="000000"/>
                <w:sz w:val="24"/>
                <w:szCs w:val="24"/>
                <w:highlight w:val="none"/>
                <w:u w:val="single"/>
                <w:lang w:eastAsia="zh-CN"/>
              </w:rPr>
              <w:t>医保移动支付新国标接口</w:t>
            </w:r>
          </w:p>
          <w:p w14:paraId="37C5FDF1">
            <w:pPr>
              <w:widowControl/>
              <w:spacing w:line="440" w:lineRule="exact"/>
              <w:jc w:val="center"/>
              <w:textAlignment w:val="center"/>
              <w:rPr>
                <w:rFonts w:hint="eastAsia" w:ascii="宋体" w:hAnsi="宋体" w:eastAsia="宋体" w:cs="宋体"/>
                <w:color w:val="000000"/>
                <w:sz w:val="24"/>
                <w:szCs w:val="24"/>
                <w:highlight w:val="none"/>
              </w:rPr>
            </w:pPr>
            <w:r>
              <w:rPr>
                <w:rFonts w:hint="eastAsia" w:ascii="宋体" w:hAnsi="宋体" w:cs="宋体"/>
                <w:b/>
                <w:color w:val="000000"/>
                <w:sz w:val="24"/>
                <w:szCs w:val="24"/>
                <w:highlight w:val="none"/>
                <w:u w:val="single"/>
                <w:lang w:eastAsia="zh-CN"/>
              </w:rPr>
              <w:t>改造</w:t>
            </w:r>
          </w:p>
        </w:tc>
        <w:tc>
          <w:tcPr>
            <w:tcW w:w="709" w:type="dxa"/>
            <w:vAlign w:val="center"/>
          </w:tcPr>
          <w:p w14:paraId="30C0595C">
            <w:pPr>
              <w:widowControl/>
              <w:spacing w:line="440" w:lineRule="exact"/>
              <w:jc w:val="center"/>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1227" w:type="dxa"/>
            <w:vAlign w:val="center"/>
          </w:tcPr>
          <w:p w14:paraId="07263773">
            <w:pPr>
              <w:widowControl/>
              <w:spacing w:line="440" w:lineRule="exact"/>
              <w:jc w:val="center"/>
              <w:textAlignment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项</w:t>
            </w:r>
          </w:p>
        </w:tc>
        <w:tc>
          <w:tcPr>
            <w:tcW w:w="1672" w:type="dxa"/>
            <w:vAlign w:val="center"/>
          </w:tcPr>
          <w:p w14:paraId="3FF44DA4">
            <w:pPr>
              <w:widowControl/>
              <w:spacing w:line="440" w:lineRule="exact"/>
              <w:jc w:val="center"/>
              <w:textAlignment w:val="center"/>
              <w:rPr>
                <w:rFonts w:hint="eastAsia" w:ascii="宋体" w:hAnsi="宋体" w:eastAsia="宋体" w:cs="宋体"/>
                <w:color w:val="000000"/>
                <w:sz w:val="24"/>
                <w:szCs w:val="24"/>
                <w:highlight w:val="none"/>
              </w:rPr>
            </w:pPr>
          </w:p>
        </w:tc>
      </w:tr>
    </w:tbl>
    <w:p w14:paraId="4C98F5E7">
      <w:pPr>
        <w:pStyle w:val="9"/>
        <w:tabs>
          <w:tab w:val="left" w:pos="540"/>
        </w:tabs>
        <w:adjustRightInd w:val="0"/>
        <w:snapToGrid w:val="0"/>
        <w:spacing w:line="440" w:lineRule="exact"/>
        <w:rPr>
          <w:rFonts w:hint="eastAsia" w:ascii="宋体" w:hAnsi="宋体" w:eastAsia="宋体" w:cs="宋体"/>
          <w:b/>
          <w:bCs/>
          <w:sz w:val="24"/>
          <w:szCs w:val="24"/>
          <w:highlight w:val="none"/>
        </w:rPr>
      </w:pPr>
    </w:p>
    <w:p w14:paraId="11B26AEF">
      <w:pPr>
        <w:pStyle w:val="9"/>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采购清单</w:t>
      </w:r>
    </w:p>
    <w:tbl>
      <w:tblPr>
        <w:tblStyle w:val="15"/>
        <w:tblW w:w="7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6"/>
        <w:gridCol w:w="3944"/>
        <w:gridCol w:w="863"/>
        <w:gridCol w:w="897"/>
      </w:tblGrid>
      <w:tr w14:paraId="2226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6" w:type="dxa"/>
            <w:tcBorders>
              <w:tl2br w:val="nil"/>
              <w:tr2bl w:val="nil"/>
            </w:tcBorders>
            <w:shd w:val="clear" w:color="000000" w:fill="FFFFFF" w:themeFill="background1"/>
            <w:vAlign w:val="center"/>
          </w:tcPr>
          <w:p w14:paraId="185F71AB">
            <w:pPr>
              <w:widowControl/>
              <w:spacing w:line="44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3944" w:type="dxa"/>
            <w:tcBorders>
              <w:tl2br w:val="nil"/>
              <w:tr2bl w:val="nil"/>
            </w:tcBorders>
            <w:shd w:val="clear" w:color="000000" w:fill="FFFFFF" w:themeFill="background1"/>
            <w:vAlign w:val="center"/>
          </w:tcPr>
          <w:p w14:paraId="7B424C8A">
            <w:pPr>
              <w:widowControl/>
              <w:spacing w:line="440" w:lineRule="exact"/>
              <w:jc w:val="center"/>
              <w:rPr>
                <w:rFonts w:hint="default" w:ascii="宋体" w:hAnsi="宋体" w:eastAsia="宋体" w:cs="宋体"/>
                <w:b/>
                <w:bCs/>
                <w:kern w:val="0"/>
                <w:sz w:val="24"/>
                <w:szCs w:val="24"/>
                <w:highlight w:val="none"/>
                <w:lang w:val="en-US"/>
              </w:rPr>
            </w:pPr>
            <w:r>
              <w:rPr>
                <w:rFonts w:hint="eastAsia" w:ascii="宋体" w:hAnsi="宋体" w:cs="宋体"/>
                <w:b/>
                <w:bCs/>
                <w:kern w:val="0"/>
                <w:sz w:val="24"/>
                <w:szCs w:val="24"/>
                <w:highlight w:val="none"/>
                <w:lang w:val="en-US" w:eastAsia="zh-CN"/>
              </w:rPr>
              <w:t>改造内容</w:t>
            </w:r>
          </w:p>
        </w:tc>
        <w:tc>
          <w:tcPr>
            <w:tcW w:w="863" w:type="dxa"/>
            <w:tcBorders>
              <w:tl2br w:val="nil"/>
              <w:tr2bl w:val="nil"/>
            </w:tcBorders>
            <w:shd w:val="clear" w:color="000000" w:fill="FFFFFF" w:themeFill="background1"/>
            <w:vAlign w:val="center"/>
          </w:tcPr>
          <w:p w14:paraId="285BF3A0">
            <w:pPr>
              <w:widowControl/>
              <w:spacing w:line="440" w:lineRule="exact"/>
              <w:jc w:val="center"/>
              <w:rPr>
                <w:rFonts w:hint="eastAsia" w:ascii="宋体" w:hAnsi="宋体" w:eastAsia="宋体" w:cs="宋体"/>
                <w:b/>
                <w:bCs/>
                <w:kern w:val="0"/>
                <w:sz w:val="24"/>
                <w:szCs w:val="24"/>
                <w:highlight w:val="none"/>
                <w:lang w:val="en-US" w:eastAsia="zh-CN"/>
              </w:rPr>
            </w:pPr>
            <w:r>
              <w:rPr>
                <w:rFonts w:hint="eastAsia" w:ascii="宋体" w:hAnsi="宋体" w:cs="宋体"/>
                <w:sz w:val="24"/>
                <w:szCs w:val="24"/>
                <w:highlight w:val="none"/>
                <w:lang w:val="en-US" w:eastAsia="zh-CN"/>
              </w:rPr>
              <w:t>数量</w:t>
            </w:r>
          </w:p>
        </w:tc>
        <w:tc>
          <w:tcPr>
            <w:tcW w:w="897" w:type="dxa"/>
            <w:tcBorders>
              <w:tl2br w:val="nil"/>
              <w:tr2bl w:val="nil"/>
            </w:tcBorders>
            <w:shd w:val="clear" w:color="000000" w:fill="FFFFFF" w:themeFill="background1"/>
            <w:vAlign w:val="center"/>
          </w:tcPr>
          <w:p w14:paraId="24F7AACA">
            <w:pPr>
              <w:widowControl/>
              <w:spacing w:line="440" w:lineRule="exact"/>
              <w:jc w:val="center"/>
              <w:rPr>
                <w:rFonts w:hint="eastAsia" w:ascii="宋体" w:hAnsi="宋体" w:eastAsia="宋体" w:cs="宋体"/>
                <w:b/>
                <w:bCs/>
                <w:kern w:val="0"/>
                <w:sz w:val="24"/>
                <w:szCs w:val="24"/>
                <w:highlight w:val="none"/>
                <w:lang w:eastAsia="zh-CN"/>
              </w:rPr>
            </w:pPr>
            <w:r>
              <w:rPr>
                <w:rFonts w:hint="eastAsia" w:ascii="宋体" w:hAnsi="宋体" w:cs="宋体"/>
                <w:b/>
                <w:bCs/>
                <w:kern w:val="0"/>
                <w:sz w:val="24"/>
                <w:szCs w:val="24"/>
                <w:highlight w:val="none"/>
                <w:lang w:val="en-US" w:eastAsia="zh-CN"/>
              </w:rPr>
              <w:t>单位</w:t>
            </w:r>
          </w:p>
        </w:tc>
      </w:tr>
      <w:tr w14:paraId="1841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6" w:type="dxa"/>
            <w:tcBorders>
              <w:tl2br w:val="nil"/>
              <w:tr2bl w:val="nil"/>
            </w:tcBorders>
            <w:shd w:val="clear" w:color="auto" w:fill="auto"/>
            <w:vAlign w:val="center"/>
          </w:tcPr>
          <w:p w14:paraId="4ABD5F63">
            <w:pPr>
              <w:pStyle w:val="21"/>
              <w:numPr>
                <w:ilvl w:val="0"/>
                <w:numId w:val="4"/>
              </w:numPr>
              <w:spacing w:line="440" w:lineRule="exact"/>
              <w:ind w:firstLineChars="0"/>
              <w:jc w:val="center"/>
              <w:rPr>
                <w:rFonts w:hint="eastAsia" w:ascii="宋体" w:hAnsi="宋体" w:eastAsia="宋体" w:cs="宋体"/>
                <w:sz w:val="24"/>
                <w:szCs w:val="24"/>
                <w:highlight w:val="none"/>
              </w:rPr>
            </w:pPr>
          </w:p>
        </w:tc>
        <w:tc>
          <w:tcPr>
            <w:tcW w:w="3944" w:type="dxa"/>
            <w:tcBorders>
              <w:tl2br w:val="nil"/>
              <w:tr2bl w:val="nil"/>
            </w:tcBorders>
            <w:shd w:val="clear" w:color="auto" w:fill="auto"/>
            <w:vAlign w:val="center"/>
          </w:tcPr>
          <w:p w14:paraId="78CA4F0C">
            <w:pPr>
              <w:spacing w:line="360" w:lineRule="auto"/>
              <w:jc w:val="left"/>
              <w:rPr>
                <w:rFonts w:hint="eastAsia" w:ascii="宋体" w:hAnsi="宋体" w:eastAsia="宋体" w:cs="宋体"/>
                <w:sz w:val="24"/>
                <w:szCs w:val="24"/>
                <w:highlight w:val="none"/>
              </w:rPr>
            </w:pPr>
            <w:r>
              <w:rPr>
                <w:rFonts w:hint="eastAsia" w:ascii="宋体" w:hAnsi="宋体"/>
                <w:sz w:val="24"/>
                <w:szCs w:val="24"/>
                <w:highlight w:val="none"/>
              </w:rPr>
              <w:t>HIS功能改造</w:t>
            </w:r>
          </w:p>
        </w:tc>
        <w:tc>
          <w:tcPr>
            <w:tcW w:w="863" w:type="dxa"/>
            <w:tcBorders>
              <w:tl2br w:val="nil"/>
              <w:tr2bl w:val="nil"/>
            </w:tcBorders>
            <w:shd w:val="clear" w:color="auto" w:fill="auto"/>
            <w:vAlign w:val="center"/>
          </w:tcPr>
          <w:p w14:paraId="63BC7AA6">
            <w:pPr>
              <w:spacing w:line="440" w:lineRule="exact"/>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897" w:type="dxa"/>
            <w:tcBorders>
              <w:tl2br w:val="nil"/>
              <w:tr2bl w:val="nil"/>
            </w:tcBorders>
            <w:shd w:val="clear" w:color="auto" w:fill="auto"/>
            <w:vAlign w:val="center"/>
          </w:tcPr>
          <w:p w14:paraId="53BD966F">
            <w:pPr>
              <w:widowControl/>
              <w:spacing w:line="44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套</w:t>
            </w:r>
          </w:p>
        </w:tc>
      </w:tr>
      <w:tr w14:paraId="700D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6" w:type="dxa"/>
            <w:tcBorders>
              <w:tl2br w:val="nil"/>
              <w:tr2bl w:val="nil"/>
            </w:tcBorders>
            <w:shd w:val="clear" w:color="auto" w:fill="auto"/>
            <w:vAlign w:val="center"/>
          </w:tcPr>
          <w:p w14:paraId="63AFB541">
            <w:pPr>
              <w:pStyle w:val="21"/>
              <w:numPr>
                <w:ilvl w:val="0"/>
                <w:numId w:val="4"/>
              </w:numPr>
              <w:spacing w:line="440" w:lineRule="exact"/>
              <w:ind w:firstLineChars="0"/>
              <w:jc w:val="center"/>
              <w:rPr>
                <w:rFonts w:hint="eastAsia" w:ascii="宋体" w:hAnsi="宋体" w:eastAsia="宋体" w:cs="宋体"/>
                <w:sz w:val="24"/>
                <w:szCs w:val="24"/>
                <w:highlight w:val="none"/>
              </w:rPr>
            </w:pPr>
          </w:p>
        </w:tc>
        <w:tc>
          <w:tcPr>
            <w:tcW w:w="3944" w:type="dxa"/>
            <w:tcBorders>
              <w:tl2br w:val="nil"/>
              <w:tr2bl w:val="nil"/>
            </w:tcBorders>
            <w:shd w:val="clear" w:color="auto" w:fill="auto"/>
            <w:vAlign w:val="center"/>
          </w:tcPr>
          <w:p w14:paraId="493C1CD0">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医院</w:t>
            </w:r>
            <w:r>
              <w:rPr>
                <w:rFonts w:hint="eastAsia" w:ascii="宋体" w:hAnsi="宋体" w:cs="宋体"/>
                <w:color w:val="000000" w:themeColor="text1"/>
                <w:sz w:val="24"/>
                <w:szCs w:val="24"/>
                <w:highlight w:val="none"/>
                <w14:textFill>
                  <w14:solidFill>
                    <w14:schemeClr w14:val="tx1"/>
                  </w14:solidFill>
                </w14:textFill>
              </w:rPr>
              <w:t>微信</w:t>
            </w:r>
            <w:r>
              <w:rPr>
                <w:rFonts w:hint="eastAsia" w:hAnsi="宋体" w:cs="宋体"/>
                <w:b w:val="0"/>
                <w:bCs w:val="0"/>
                <w:sz w:val="24"/>
                <w:szCs w:val="24"/>
                <w:highlight w:val="none"/>
              </w:rPr>
              <w:t>小程序</w:t>
            </w:r>
            <w:r>
              <w:rPr>
                <w:rFonts w:hint="eastAsia" w:ascii="宋体" w:hAnsi="宋体" w:cs="宋体"/>
                <w:color w:val="000000" w:themeColor="text1"/>
                <w:sz w:val="24"/>
                <w:szCs w:val="24"/>
                <w:highlight w:val="none"/>
                <w14:textFill>
                  <w14:solidFill>
                    <w14:schemeClr w14:val="tx1"/>
                  </w14:solidFill>
                </w14:textFill>
              </w:rPr>
              <w:t>改造</w:t>
            </w:r>
          </w:p>
        </w:tc>
        <w:tc>
          <w:tcPr>
            <w:tcW w:w="863" w:type="dxa"/>
            <w:tcBorders>
              <w:tl2br w:val="nil"/>
              <w:tr2bl w:val="nil"/>
            </w:tcBorders>
            <w:shd w:val="clear" w:color="auto" w:fill="auto"/>
            <w:vAlign w:val="center"/>
          </w:tcPr>
          <w:p w14:paraId="1461331E">
            <w:pPr>
              <w:spacing w:line="4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897" w:type="dxa"/>
            <w:tcBorders>
              <w:tl2br w:val="nil"/>
              <w:tr2bl w:val="nil"/>
            </w:tcBorders>
            <w:shd w:val="clear" w:color="auto" w:fill="auto"/>
            <w:vAlign w:val="center"/>
          </w:tcPr>
          <w:p w14:paraId="1203415A">
            <w:pPr>
              <w:widowControl/>
              <w:spacing w:line="44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套</w:t>
            </w:r>
          </w:p>
        </w:tc>
      </w:tr>
      <w:tr w14:paraId="347C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6" w:type="dxa"/>
            <w:tcBorders>
              <w:tl2br w:val="nil"/>
              <w:tr2bl w:val="nil"/>
            </w:tcBorders>
            <w:shd w:val="clear" w:color="auto" w:fill="auto"/>
            <w:vAlign w:val="center"/>
          </w:tcPr>
          <w:p w14:paraId="62E5E068">
            <w:pPr>
              <w:pStyle w:val="21"/>
              <w:numPr>
                <w:ilvl w:val="0"/>
                <w:numId w:val="4"/>
              </w:numPr>
              <w:spacing w:line="440" w:lineRule="exact"/>
              <w:ind w:firstLineChars="0"/>
              <w:jc w:val="center"/>
              <w:rPr>
                <w:rFonts w:hint="eastAsia" w:ascii="宋体" w:hAnsi="宋体" w:eastAsia="宋体" w:cs="宋体"/>
                <w:sz w:val="24"/>
                <w:szCs w:val="24"/>
                <w:highlight w:val="none"/>
              </w:rPr>
            </w:pPr>
          </w:p>
        </w:tc>
        <w:tc>
          <w:tcPr>
            <w:tcW w:w="3944" w:type="dxa"/>
            <w:tcBorders>
              <w:tl2br w:val="nil"/>
              <w:tr2bl w:val="nil"/>
            </w:tcBorders>
            <w:shd w:val="clear" w:color="auto" w:fill="auto"/>
            <w:vAlign w:val="center"/>
          </w:tcPr>
          <w:p w14:paraId="68D04BE7">
            <w:pPr>
              <w:spacing w:line="360" w:lineRule="auto"/>
              <w:jc w:val="left"/>
              <w:rPr>
                <w:rFonts w:hint="eastAsia" w:ascii="宋体" w:hAnsi="宋体" w:eastAsia="宋体" w:cs="宋体"/>
                <w:color w:val="000000"/>
                <w:sz w:val="24"/>
                <w:szCs w:val="24"/>
                <w:highlight w:val="none"/>
              </w:rPr>
            </w:pPr>
            <w:r>
              <w:rPr>
                <w:rFonts w:hint="eastAsia" w:ascii="宋体" w:hAnsi="宋体" w:cs="宋体"/>
                <w:color w:val="000000" w:themeColor="text1"/>
                <w:sz w:val="24"/>
                <w:szCs w:val="24"/>
                <w:highlight w:val="none"/>
                <w:lang w:val="en-US" w:eastAsia="zh-CN"/>
                <w14:textFill>
                  <w14:solidFill>
                    <w14:schemeClr w14:val="tx1"/>
                  </w14:solidFill>
                </w14:textFill>
              </w:rPr>
              <w:t>医院</w:t>
            </w:r>
            <w:r>
              <w:rPr>
                <w:rFonts w:hint="eastAsia" w:ascii="宋体" w:hAnsi="宋体" w:cs="宋体"/>
                <w:color w:val="000000" w:themeColor="text1"/>
                <w:sz w:val="24"/>
                <w:szCs w:val="24"/>
                <w:highlight w:val="none"/>
                <w14:textFill>
                  <w14:solidFill>
                    <w14:schemeClr w14:val="tx1"/>
                  </w14:solidFill>
                </w14:textFill>
              </w:rPr>
              <w:t>支付宝小程序改造</w:t>
            </w:r>
          </w:p>
        </w:tc>
        <w:tc>
          <w:tcPr>
            <w:tcW w:w="863" w:type="dxa"/>
            <w:tcBorders>
              <w:tl2br w:val="nil"/>
              <w:tr2bl w:val="nil"/>
            </w:tcBorders>
            <w:shd w:val="clear" w:color="auto" w:fill="auto"/>
            <w:vAlign w:val="center"/>
          </w:tcPr>
          <w:p w14:paraId="28707AB9">
            <w:pPr>
              <w:spacing w:line="44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897" w:type="dxa"/>
            <w:tcBorders>
              <w:tl2br w:val="nil"/>
              <w:tr2bl w:val="nil"/>
            </w:tcBorders>
            <w:shd w:val="clear" w:color="auto" w:fill="auto"/>
            <w:vAlign w:val="center"/>
          </w:tcPr>
          <w:p w14:paraId="72EED880">
            <w:pPr>
              <w:widowControl/>
              <w:spacing w:line="440" w:lineRule="exact"/>
              <w:jc w:val="center"/>
              <w:rPr>
                <w:rFonts w:hint="eastAsia"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套</w:t>
            </w:r>
          </w:p>
        </w:tc>
      </w:tr>
    </w:tbl>
    <w:p w14:paraId="0A955A8B">
      <w:pPr>
        <w:pStyle w:val="9"/>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建设目标</w:t>
      </w:r>
    </w:p>
    <w:p w14:paraId="19E022C6">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医院医保移动支付新国标接口改造服务项目建设目标如下：</w:t>
      </w:r>
    </w:p>
    <w:p w14:paraId="6566CDD2">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1、成功实现线上医保国家医保2.0接口改造服务。</w:t>
      </w:r>
    </w:p>
    <w:p w14:paraId="79D65D5C">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2、确保HIS系统与医保系统对接顺畅，各项功能正常运行。</w:t>
      </w:r>
    </w:p>
    <w:p w14:paraId="3BFF59A7">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val="en-US" w:eastAsia="zh-CN"/>
        </w:rPr>
        <w:t>3</w:t>
      </w:r>
      <w:r>
        <w:rPr>
          <w:rFonts w:hint="eastAsia" w:hAnsi="宋体" w:cs="宋体"/>
          <w:b w:val="0"/>
          <w:bCs w:val="0"/>
          <w:sz w:val="24"/>
          <w:szCs w:val="24"/>
          <w:highlight w:val="none"/>
        </w:rPr>
        <w:t>、微信小程序和支付宝小程序系统能为用户提供便捷的医保服务。</w:t>
      </w:r>
    </w:p>
    <w:p w14:paraId="73757E17">
      <w:pPr>
        <w:pStyle w:val="9"/>
        <w:numPr>
          <w:ilvl w:val="-1"/>
          <w:numId w:val="0"/>
        </w:numPr>
        <w:tabs>
          <w:tab w:val="left" w:pos="540"/>
        </w:tabs>
        <w:adjustRightInd w:val="0"/>
        <w:snapToGrid w:val="0"/>
        <w:spacing w:line="440" w:lineRule="exact"/>
        <w:ind w:left="0" w:firstLine="480" w:firstLineChars="200"/>
        <w:rPr>
          <w:rFonts w:hint="eastAsia" w:ascii="宋体" w:hAnsi="宋体" w:eastAsia="宋体" w:cs="宋体"/>
          <w:b w:val="0"/>
          <w:bCs w:val="0"/>
          <w:sz w:val="24"/>
          <w:szCs w:val="24"/>
          <w:highlight w:val="none"/>
        </w:rPr>
      </w:pPr>
      <w:r>
        <w:rPr>
          <w:rFonts w:hint="eastAsia" w:hAnsi="宋体" w:cs="宋体"/>
          <w:b w:val="0"/>
          <w:bCs w:val="0"/>
          <w:sz w:val="24"/>
          <w:szCs w:val="24"/>
          <w:highlight w:val="none"/>
          <w:lang w:val="en-US" w:eastAsia="zh-CN"/>
        </w:rPr>
        <w:t>4</w:t>
      </w:r>
      <w:r>
        <w:rPr>
          <w:rFonts w:hint="eastAsia" w:hAnsi="宋体" w:cs="宋体"/>
          <w:b w:val="0"/>
          <w:bCs w:val="0"/>
          <w:sz w:val="24"/>
          <w:szCs w:val="24"/>
          <w:highlight w:val="none"/>
        </w:rPr>
        <w:t>、在一年服务期内保障系统稳定运行，符合医保业务要求和规范。</w:t>
      </w:r>
    </w:p>
    <w:p w14:paraId="09E5292D">
      <w:pPr>
        <w:pStyle w:val="9"/>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建设原则</w:t>
      </w:r>
    </w:p>
    <w:p w14:paraId="6B7350C7">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项目的建设必须从实际出发，在满足现有需求的同时，能够保证随着网络和技术的发展，支持未来的平滑升级和扩容，有效保护投资。并能根据后续需求的变化和业务的发展，灵活支持各种业务的叠加和融合，满足未来业务的需求。</w:t>
      </w:r>
    </w:p>
    <w:p w14:paraId="66E1B3C6">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系统的建设应遵从以下原则：</w:t>
      </w:r>
    </w:p>
    <w:p w14:paraId="4792DED3">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1、经济、合理原则</w:t>
      </w:r>
    </w:p>
    <w:p w14:paraId="42584805">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系统应依据医院现有信息化系统的实际情况，尽可能利用现有的硬件条件，尽可能利用已有的系统和已建设的信息资源，建设适用的业务系统。</w:t>
      </w:r>
    </w:p>
    <w:p w14:paraId="2D331D8A">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2、先进性原则</w:t>
      </w:r>
    </w:p>
    <w:p w14:paraId="1D87B6C5">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系统应严格遵循信息化国际标准、国家标准的规范要求符合行业的发展趋势，并确保采用当前成熟的产品技术，所有的系统采用新的技术，确保今后相当长的时间内技术上不会落伍。</w:t>
      </w:r>
    </w:p>
    <w:p w14:paraId="16EC9535">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3、开放、兼容原则</w:t>
      </w:r>
    </w:p>
    <w:p w14:paraId="61185495">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系统应完全符合标准框架协议，采用业界协议，采用开放式标准设计，能够兼容其他医疗系统，满足今后的发展，为未来业务扩展留有充分的扩充余地。</w:t>
      </w:r>
    </w:p>
    <w:p w14:paraId="16B9F068">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4、安全、可靠原则</w:t>
      </w:r>
    </w:p>
    <w:p w14:paraId="65119AD5">
      <w:pPr>
        <w:pStyle w:val="9"/>
        <w:numPr>
          <w:ilvl w:val="-1"/>
          <w:numId w:val="0"/>
        </w:numPr>
        <w:tabs>
          <w:tab w:val="left" w:pos="540"/>
        </w:tabs>
        <w:adjustRightInd w:val="0"/>
        <w:snapToGrid w:val="0"/>
        <w:spacing w:line="440" w:lineRule="exact"/>
        <w:ind w:left="0" w:firstLine="480" w:firstLineChars="200"/>
        <w:rPr>
          <w:rFonts w:hint="eastAsia" w:ascii="宋体" w:hAnsi="宋体" w:eastAsia="宋体" w:cs="宋体"/>
          <w:b w:val="0"/>
          <w:bCs w:val="0"/>
          <w:sz w:val="24"/>
          <w:szCs w:val="24"/>
          <w:highlight w:val="none"/>
        </w:rPr>
      </w:pPr>
      <w:r>
        <w:rPr>
          <w:rFonts w:hint="eastAsia" w:hAnsi="宋体" w:cs="宋体"/>
          <w:b w:val="0"/>
          <w:bCs w:val="0"/>
          <w:sz w:val="24"/>
          <w:szCs w:val="24"/>
          <w:highlight w:val="none"/>
        </w:rPr>
        <w:t>系统应具有高度的安全性，具有分级权限管理和高级加密机制，对工作环境要求较低，环境适应能力要强，系统安装使用简单，无需专业人员维护。系统具有很好的备份机制，满足高可靠性需求，对于端到端的业务故障，有很好的备份、应对机制。</w:t>
      </w:r>
    </w:p>
    <w:p w14:paraId="414308E7">
      <w:pPr>
        <w:pStyle w:val="9"/>
        <w:numPr>
          <w:ilvl w:val="0"/>
          <w:numId w:val="2"/>
        </w:numPr>
        <w:tabs>
          <w:tab w:val="left" w:pos="540"/>
        </w:tabs>
        <w:adjustRightInd w:val="0"/>
        <w:snapToGrid w:val="0"/>
        <w:spacing w:line="440" w:lineRule="exact"/>
        <w:rPr>
          <w:rFonts w:hint="eastAsia" w:ascii="宋体" w:hAnsi="宋体" w:eastAsia="宋体" w:cs="宋体"/>
          <w:b w:val="0"/>
          <w:bCs w:val="0"/>
          <w:sz w:val="24"/>
          <w:szCs w:val="24"/>
          <w:highlight w:val="none"/>
        </w:rPr>
      </w:pPr>
      <w:r>
        <w:rPr>
          <w:rFonts w:hint="eastAsia" w:hAnsi="宋体" w:cs="宋体"/>
          <w:b/>
          <w:bCs/>
          <w:sz w:val="24"/>
          <w:szCs w:val="24"/>
          <w:highlight w:val="none"/>
          <w:lang w:val="en-US" w:eastAsia="zh-CN"/>
        </w:rPr>
        <w:t>技术要求</w:t>
      </w:r>
    </w:p>
    <w:p w14:paraId="411F7BC0">
      <w:pPr>
        <w:pStyle w:val="9"/>
        <w:numPr>
          <w:ilvl w:val="0"/>
          <w:numId w:val="5"/>
        </w:numPr>
        <w:tabs>
          <w:tab w:val="left" w:pos="540"/>
        </w:tabs>
        <w:adjustRightInd w:val="0"/>
        <w:snapToGrid w:val="0"/>
        <w:spacing w:line="440" w:lineRule="exact"/>
        <w:ind w:left="0" w:firstLine="0" w:firstLineChars="0"/>
        <w:rPr>
          <w:rFonts w:hint="eastAsia" w:hAnsi="宋体" w:cs="宋体"/>
          <w:b/>
          <w:bCs/>
          <w:sz w:val="24"/>
          <w:szCs w:val="24"/>
          <w:highlight w:val="none"/>
        </w:rPr>
      </w:pPr>
      <w:r>
        <w:rPr>
          <w:rFonts w:hint="eastAsia" w:hAnsi="宋体" w:cs="宋体"/>
          <w:b/>
          <w:bCs/>
          <w:sz w:val="24"/>
          <w:szCs w:val="24"/>
          <w:highlight w:val="none"/>
        </w:rPr>
        <w:t>HIS功能改造</w:t>
      </w:r>
    </w:p>
    <w:p w14:paraId="58F3B3C9">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1、【6201】费用明细上传。</w:t>
      </w:r>
    </w:p>
    <w:p w14:paraId="7ECE8F1E">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2、【6202】支付下单。</w:t>
      </w:r>
    </w:p>
    <w:p w14:paraId="4A7807C0">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3、【6203】医保退费。</w:t>
      </w:r>
    </w:p>
    <w:p w14:paraId="200A78EB">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4、【6301】医保订单结算结果查询。</w:t>
      </w:r>
    </w:p>
    <w:p w14:paraId="45542588">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5、【6401】费用明细上传撤销。</w:t>
      </w:r>
    </w:p>
    <w:p w14:paraId="24977D61">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6、增加医保待缴费记录接口。</w:t>
      </w:r>
    </w:p>
    <w:p w14:paraId="1B143003">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7、增加医保待缴费明细清单接口。</w:t>
      </w:r>
    </w:p>
    <w:p w14:paraId="49ECCA78">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8、结构调整，扩展订单表、结算单表，区分国家医保结算的业务类型。</w:t>
      </w:r>
    </w:p>
    <w:p w14:paraId="3DD3B21E">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9、增加相关国家医保新增字典，支持相关可能需要的新的支付方式、商户号等。提供相关的订单数据供后续的相关对账使用等。</w:t>
      </w:r>
    </w:p>
    <w:p w14:paraId="76FE9114">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10、增加国家医保对接的预结算接口。</w:t>
      </w:r>
    </w:p>
    <w:p w14:paraId="2548A2D8">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11、调整医保缴费接口，需要同时兼容省保流程及国家医保流程。</w:t>
      </w:r>
    </w:p>
    <w:p w14:paraId="1504FDC7">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12、增加国家医保的预结算多次调用机制。</w:t>
      </w:r>
    </w:p>
    <w:p w14:paraId="01A0BA57">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13、增加国家的撤销预结算功能。</w:t>
      </w:r>
    </w:p>
    <w:p w14:paraId="369AC65A">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14、增加异常订单处理功能。</w:t>
      </w:r>
    </w:p>
    <w:p w14:paraId="640499BD">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15、增加国家医保线上撤销接口。</w:t>
      </w:r>
    </w:p>
    <w:p w14:paraId="71DA8A10">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16、门诊缴费菜单，增加授权码获取界面及功能。</w:t>
      </w:r>
    </w:p>
    <w:p w14:paraId="1368F368">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17、门诊结算单界面调整。</w:t>
      </w:r>
    </w:p>
    <w:p w14:paraId="1232BD50">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18、支持相关的国家医保结算单，窗口撤销流程。</w:t>
      </w:r>
    </w:p>
    <w:p w14:paraId="128B4E2D">
      <w:pPr>
        <w:pStyle w:val="9"/>
        <w:numPr>
          <w:ilvl w:val="-1"/>
          <w:numId w:val="0"/>
        </w:numPr>
        <w:tabs>
          <w:tab w:val="left" w:pos="540"/>
        </w:tabs>
        <w:adjustRightInd w:val="0"/>
        <w:snapToGrid w:val="0"/>
        <w:spacing w:line="440" w:lineRule="exact"/>
        <w:ind w:left="0" w:firstLine="480" w:firstLineChars="200"/>
        <w:rPr>
          <w:rFonts w:hint="default" w:hAnsi="宋体" w:eastAsia="宋体" w:cs="宋体"/>
          <w:b w:val="0"/>
          <w:bCs w:val="0"/>
          <w:sz w:val="24"/>
          <w:szCs w:val="24"/>
          <w:highlight w:val="none"/>
          <w:lang w:val="en-US" w:eastAsia="zh-CN"/>
        </w:rPr>
      </w:pPr>
      <w:r>
        <w:rPr>
          <w:rFonts w:hint="eastAsia" w:hAnsi="宋体" w:cs="宋体"/>
          <w:b w:val="0"/>
          <w:bCs w:val="0"/>
          <w:sz w:val="24"/>
          <w:szCs w:val="24"/>
          <w:highlight w:val="none"/>
          <w:lang w:val="en-US" w:eastAsia="zh-CN"/>
        </w:rPr>
        <w:t>19、提供开放API,通过开放配置文件的方式，提供第三方应用（例如互联网医院、微信公众号）接入。（重要）</w:t>
      </w:r>
    </w:p>
    <w:p w14:paraId="63FB6927">
      <w:pPr>
        <w:pStyle w:val="9"/>
        <w:numPr>
          <w:ilvl w:val="0"/>
          <w:numId w:val="5"/>
        </w:numPr>
        <w:tabs>
          <w:tab w:val="left" w:pos="540"/>
        </w:tabs>
        <w:adjustRightInd w:val="0"/>
        <w:snapToGrid w:val="0"/>
        <w:spacing w:line="440" w:lineRule="exact"/>
        <w:ind w:left="0" w:firstLine="0" w:firstLineChars="0"/>
        <w:rPr>
          <w:rFonts w:hint="eastAsia" w:hAnsi="宋体" w:cs="宋体"/>
          <w:b/>
          <w:bCs/>
          <w:sz w:val="24"/>
          <w:szCs w:val="24"/>
          <w:highlight w:val="none"/>
        </w:rPr>
      </w:pPr>
      <w:r>
        <w:rPr>
          <w:rFonts w:hint="eastAsia" w:hAnsi="宋体" w:cs="宋体"/>
          <w:b/>
          <w:bCs/>
          <w:sz w:val="24"/>
          <w:szCs w:val="24"/>
          <w:highlight w:val="none"/>
          <w:lang w:val="en-US" w:eastAsia="zh-CN"/>
        </w:rPr>
        <w:t>医院</w:t>
      </w:r>
      <w:r>
        <w:rPr>
          <w:rFonts w:hint="eastAsia" w:hAnsi="宋体" w:cs="宋体"/>
          <w:b/>
          <w:bCs/>
          <w:sz w:val="24"/>
          <w:szCs w:val="24"/>
          <w:highlight w:val="none"/>
        </w:rPr>
        <w:t>微信小程序改造</w:t>
      </w:r>
    </w:p>
    <w:p w14:paraId="6C136636">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修改门诊待缴费详情界面。</w:t>
      </w:r>
    </w:p>
    <w:p w14:paraId="26001BA4">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新增国家标准支付界面。</w:t>
      </w:r>
    </w:p>
    <w:p w14:paraId="23212C08">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3、微信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新增微信授权码界面，给医保退费使用。</w:t>
      </w:r>
    </w:p>
    <w:p w14:paraId="6E613A0D">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4、微信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新增获取腾讯支付授权码逻辑。</w:t>
      </w:r>
    </w:p>
    <w:p w14:paraId="6B40EDA2">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5、微信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新增国家医保预结算逻辑。</w:t>
      </w:r>
    </w:p>
    <w:p w14:paraId="48A27445">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6、微信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新增国家医保支付逻辑。</w:t>
      </w:r>
    </w:p>
    <w:p w14:paraId="32A6EC1E">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7、微信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新增国家医保异常订单退费逻辑。</w:t>
      </w:r>
    </w:p>
    <w:p w14:paraId="35BEC049">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8、微信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新增国家医保撤销逻辑。</w:t>
      </w:r>
    </w:p>
    <w:p w14:paraId="2CC07236">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9、微信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新增国家医保窗口原路退费逻辑。</w:t>
      </w:r>
    </w:p>
    <w:p w14:paraId="0EC1B647">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10、与微信、HIS、医保核心系统、银联等多方联调。</w:t>
      </w:r>
    </w:p>
    <w:p w14:paraId="012A6657">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11、微信</w:t>
      </w:r>
      <w:r>
        <w:rPr>
          <w:rFonts w:hint="eastAsia" w:hAnsi="宋体" w:cs="宋体"/>
          <w:b w:val="0"/>
          <w:bCs w:val="0"/>
          <w:sz w:val="24"/>
          <w:szCs w:val="24"/>
          <w:highlight w:val="none"/>
          <w:lang w:val="en-US" w:eastAsia="zh-CN"/>
        </w:rPr>
        <w:t>小程序</w:t>
      </w:r>
      <w:r>
        <w:rPr>
          <w:rFonts w:hint="eastAsia" w:hAnsi="宋体" w:cs="宋体"/>
          <w:b w:val="0"/>
          <w:bCs w:val="0"/>
          <w:sz w:val="24"/>
          <w:szCs w:val="24"/>
          <w:highlight w:val="none"/>
        </w:rPr>
        <w:t>国家医保上线和医保结算运维。</w:t>
      </w:r>
    </w:p>
    <w:p w14:paraId="6A4D2F5C">
      <w:pPr>
        <w:pStyle w:val="9"/>
        <w:numPr>
          <w:ilvl w:val="0"/>
          <w:numId w:val="5"/>
        </w:numPr>
        <w:tabs>
          <w:tab w:val="left" w:pos="540"/>
        </w:tabs>
        <w:adjustRightInd w:val="0"/>
        <w:snapToGrid w:val="0"/>
        <w:spacing w:line="440" w:lineRule="exact"/>
        <w:ind w:left="0" w:firstLine="0" w:firstLineChars="0"/>
        <w:rPr>
          <w:rFonts w:hint="eastAsia" w:hAnsi="宋体" w:cs="宋体"/>
          <w:b/>
          <w:bCs/>
          <w:sz w:val="24"/>
          <w:szCs w:val="24"/>
          <w:highlight w:val="none"/>
        </w:rPr>
      </w:pPr>
      <w:r>
        <w:rPr>
          <w:rFonts w:hint="eastAsia" w:hAnsi="宋体" w:cs="宋体"/>
          <w:b/>
          <w:bCs/>
          <w:sz w:val="24"/>
          <w:szCs w:val="24"/>
          <w:highlight w:val="none"/>
        </w:rPr>
        <w:t>支付宝小程序改造</w:t>
      </w:r>
    </w:p>
    <w:p w14:paraId="29CE38EA">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1、支付宝小程序修改门诊待缴费详情界面。</w:t>
      </w:r>
    </w:p>
    <w:p w14:paraId="36FABC5D">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2、支付宝小程序新增国家标准支付界面。</w:t>
      </w:r>
    </w:p>
    <w:p w14:paraId="3698972B">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3、支付宝小程序新增微信授权码界面，给医保退费使用。</w:t>
      </w:r>
    </w:p>
    <w:p w14:paraId="7A43C90B">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4、支付宝小程序新增获取腾讯支付授权码逻辑。</w:t>
      </w:r>
    </w:p>
    <w:p w14:paraId="44067862">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5、支付宝小程序新增国家医保预结算逻辑。</w:t>
      </w:r>
    </w:p>
    <w:p w14:paraId="0195CFA3">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6、支付宝小程序新增国家医保支付逻辑。</w:t>
      </w:r>
    </w:p>
    <w:p w14:paraId="632C06D4">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7、支付宝小程序新增国家医保异常订单退费逻辑。</w:t>
      </w:r>
    </w:p>
    <w:p w14:paraId="3A425BCB">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8、支付宝小程序新增国家医保撤销逻辑。</w:t>
      </w:r>
    </w:p>
    <w:p w14:paraId="763F11F5">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9、支付宝小程序新增国家医保窗口原路退费逻辑。</w:t>
      </w:r>
    </w:p>
    <w:p w14:paraId="5E359031">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10、与支付宝、HIS、医保核心系统、银联等多方联调。</w:t>
      </w:r>
    </w:p>
    <w:p w14:paraId="25D63DF9">
      <w:pPr>
        <w:pStyle w:val="9"/>
        <w:numPr>
          <w:ilvl w:val="-1"/>
          <w:numId w:val="0"/>
        </w:numPr>
        <w:tabs>
          <w:tab w:val="left" w:pos="540"/>
        </w:tabs>
        <w:adjustRightInd w:val="0"/>
        <w:snapToGrid w:val="0"/>
        <w:spacing w:line="440" w:lineRule="exact"/>
        <w:ind w:left="0" w:firstLine="480" w:firstLineChars="200"/>
        <w:rPr>
          <w:rFonts w:hint="eastAsia" w:ascii="宋体" w:hAnsi="宋体" w:eastAsia="宋体" w:cs="宋体"/>
          <w:b w:val="0"/>
          <w:bCs w:val="0"/>
          <w:sz w:val="24"/>
          <w:szCs w:val="24"/>
          <w:highlight w:val="none"/>
        </w:rPr>
      </w:pPr>
      <w:r>
        <w:rPr>
          <w:rFonts w:hint="eastAsia" w:hAnsi="宋体" w:cs="宋体"/>
          <w:b w:val="0"/>
          <w:bCs w:val="0"/>
          <w:sz w:val="24"/>
          <w:szCs w:val="24"/>
          <w:highlight w:val="none"/>
        </w:rPr>
        <w:t>11、支付宝小程序国家医保上线和医保结算运维。</w:t>
      </w:r>
    </w:p>
    <w:p w14:paraId="6B1C8689">
      <w:pPr>
        <w:pStyle w:val="9"/>
        <w:numPr>
          <w:ilvl w:val="0"/>
          <w:numId w:val="2"/>
        </w:numPr>
        <w:tabs>
          <w:tab w:val="left" w:pos="540"/>
        </w:tabs>
        <w:adjustRightInd w:val="0"/>
        <w:snapToGrid w:val="0"/>
        <w:spacing w:line="440" w:lineRule="exact"/>
        <w:rPr>
          <w:rFonts w:hint="eastAsia" w:ascii="宋体" w:hAnsi="宋体" w:eastAsia="宋体" w:cs="宋体"/>
          <w:b/>
          <w:bCs/>
          <w:sz w:val="24"/>
          <w:szCs w:val="24"/>
          <w:highlight w:val="none"/>
        </w:rPr>
      </w:pPr>
      <w:r>
        <w:rPr>
          <w:rFonts w:hint="eastAsia" w:hAnsi="宋体" w:cs="宋体"/>
          <w:b/>
          <w:bCs/>
          <w:sz w:val="24"/>
          <w:szCs w:val="24"/>
          <w:highlight w:val="none"/>
          <w:lang w:val="en-US" w:eastAsia="zh-CN"/>
        </w:rPr>
        <w:t>服务要求</w:t>
      </w:r>
    </w:p>
    <w:p w14:paraId="11914430">
      <w:pPr>
        <w:pStyle w:val="9"/>
        <w:numPr>
          <w:ilvl w:val="0"/>
          <w:numId w:val="6"/>
        </w:numPr>
        <w:tabs>
          <w:tab w:val="left" w:pos="540"/>
        </w:tabs>
        <w:adjustRightInd w:val="0"/>
        <w:snapToGrid w:val="0"/>
        <w:spacing w:line="440" w:lineRule="exact"/>
        <w:ind w:left="0" w:firstLine="0"/>
        <w:rPr>
          <w:rFonts w:hint="eastAsia" w:hAnsi="宋体" w:cs="宋体"/>
          <w:b/>
          <w:bCs/>
          <w:sz w:val="24"/>
          <w:szCs w:val="24"/>
          <w:highlight w:val="none"/>
        </w:rPr>
      </w:pPr>
      <w:r>
        <w:rPr>
          <w:rFonts w:hint="eastAsia" w:hAnsi="宋体" w:cs="宋体"/>
          <w:b/>
          <w:bCs/>
          <w:sz w:val="24"/>
          <w:szCs w:val="24"/>
          <w:highlight w:val="none"/>
        </w:rPr>
        <w:t>实施要求</w:t>
      </w:r>
    </w:p>
    <w:p w14:paraId="2E6C79D7">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eastAsia="zh-CN"/>
        </w:rPr>
        <w:t>1、</w:t>
      </w:r>
      <w:r>
        <w:rPr>
          <w:rFonts w:hint="eastAsia" w:hAnsi="宋体" w:cs="宋体"/>
          <w:b w:val="0"/>
          <w:bCs w:val="0"/>
          <w:sz w:val="24"/>
          <w:szCs w:val="24"/>
          <w:highlight w:val="none"/>
        </w:rPr>
        <w:t>项目人员要求：功能建设阶段按要求派驻项目服务人员，项目服务人员具有同类大型项目成功实施经验，熟悉本项目建设过程和运行情况，并且明确提供具体角色对应人员名单、简历。</w:t>
      </w:r>
    </w:p>
    <w:p w14:paraId="793501DE">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（1）项目经理，全面负责项目实施的组织、领导、协调和控制，对项目的进度、质量以及安全全面负责。</w:t>
      </w:r>
    </w:p>
    <w:p w14:paraId="6F4274DB">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rPr>
        <w:t>（2）项目实施人员，负责项目部署、测试、培训和上线工作。</w:t>
      </w:r>
    </w:p>
    <w:p w14:paraId="31F2EF97">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eastAsia="zh-CN"/>
        </w:rPr>
        <w:t>2、</w:t>
      </w:r>
      <w:r>
        <w:rPr>
          <w:rFonts w:hint="eastAsia" w:hAnsi="宋体" w:cs="宋体"/>
          <w:b w:val="0"/>
          <w:bCs w:val="0"/>
          <w:sz w:val="24"/>
          <w:szCs w:val="24"/>
          <w:highlight w:val="none"/>
        </w:rPr>
        <w:t>系统供应商应具有健全的项目管理制度和流程，以及合格的项目实施人员，对本项目建设进行全过程质量管理，确保项目实施的顺利。</w:t>
      </w:r>
    </w:p>
    <w:p w14:paraId="5F3225B0">
      <w:pPr>
        <w:pStyle w:val="9"/>
        <w:numPr>
          <w:ilvl w:val="-1"/>
          <w:numId w:val="0"/>
        </w:numPr>
        <w:tabs>
          <w:tab w:val="left" w:pos="540"/>
        </w:tabs>
        <w:adjustRightInd w:val="0"/>
        <w:snapToGrid w:val="0"/>
        <w:spacing w:line="440" w:lineRule="exact"/>
        <w:ind w:left="0" w:firstLine="480" w:firstLineChars="200"/>
        <w:rPr>
          <w:rFonts w:hint="eastAsia" w:hAnsi="宋体" w:cs="宋体"/>
          <w:b w:val="0"/>
          <w:bCs w:val="0"/>
          <w:sz w:val="24"/>
          <w:szCs w:val="24"/>
          <w:highlight w:val="none"/>
        </w:rPr>
      </w:pPr>
      <w:r>
        <w:rPr>
          <w:rFonts w:hint="eastAsia" w:hAnsi="宋体" w:cs="宋体"/>
          <w:b w:val="0"/>
          <w:bCs w:val="0"/>
          <w:sz w:val="24"/>
          <w:szCs w:val="24"/>
          <w:highlight w:val="none"/>
          <w:lang w:val="en-US" w:eastAsia="zh-CN"/>
        </w:rPr>
        <w:t>3、</w:t>
      </w:r>
      <w:r>
        <w:rPr>
          <w:rFonts w:hint="eastAsia" w:hAnsi="宋体" w:cs="宋体"/>
          <w:b w:val="0"/>
          <w:bCs w:val="0"/>
          <w:sz w:val="24"/>
          <w:szCs w:val="24"/>
          <w:highlight w:val="none"/>
        </w:rPr>
        <w:t>项目实施进度要求及控制：要求系统供应商根据项目建设单位的实际情况，科学合理的定出项目集成实施的时间进度安排；对项目实施的进度计划及控制中各阶段中系统供应商所要做的工作及保障措施做出详细安排。</w:t>
      </w:r>
    </w:p>
    <w:p w14:paraId="413078EA">
      <w:pPr>
        <w:pStyle w:val="9"/>
        <w:numPr>
          <w:ilvl w:val="0"/>
          <w:numId w:val="6"/>
        </w:numPr>
        <w:tabs>
          <w:tab w:val="left" w:pos="540"/>
        </w:tabs>
        <w:adjustRightInd w:val="0"/>
        <w:snapToGrid w:val="0"/>
        <w:spacing w:line="440" w:lineRule="exact"/>
        <w:ind w:left="0" w:firstLine="0" w:firstLineChars="0"/>
        <w:rPr>
          <w:rFonts w:hint="eastAsia" w:hAnsi="宋体" w:cs="宋体"/>
          <w:b/>
          <w:bCs/>
          <w:sz w:val="24"/>
          <w:szCs w:val="24"/>
          <w:highlight w:val="none"/>
          <w:lang w:val="en-US" w:eastAsia="zh-CN"/>
        </w:rPr>
      </w:pPr>
      <w:r>
        <w:rPr>
          <w:rFonts w:hint="eastAsia" w:hAnsi="宋体" w:cs="宋体"/>
          <w:b/>
          <w:bCs/>
          <w:sz w:val="24"/>
          <w:szCs w:val="24"/>
          <w:highlight w:val="none"/>
          <w:lang w:val="en-US" w:eastAsia="zh-CN"/>
        </w:rPr>
        <w:t>培训要求</w:t>
      </w:r>
    </w:p>
    <w:p w14:paraId="2C7C897B">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1、对与本项目的相关技术，系统供应商也需要提供必要的手段保证能够将其传授与采购人。与培训相关的费用，系统供应商应当一并计算在投标报价中。</w:t>
      </w:r>
    </w:p>
    <w:p w14:paraId="2A4165C7">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eastAsia" w:hAnsi="宋体" w:cs="宋体"/>
          <w:b w:val="0"/>
          <w:bCs w:val="0"/>
          <w:sz w:val="24"/>
          <w:szCs w:val="24"/>
          <w:highlight w:val="none"/>
          <w:lang w:val="en-US" w:eastAsia="zh-CN"/>
        </w:rPr>
        <w:t>2、</w:t>
      </w:r>
      <w:r>
        <w:rPr>
          <w:rFonts w:hint="default" w:hAnsi="宋体" w:cs="宋体"/>
          <w:b w:val="0"/>
          <w:bCs w:val="0"/>
          <w:sz w:val="24"/>
          <w:szCs w:val="24"/>
          <w:highlight w:val="none"/>
        </w:rPr>
        <w:t>为了让用户单位人员更好地对系统进行管理和维护，系统供应商需对相关技术人员和管理专家进行全面的培训，使之在各个层次上掌握应用软件系统的操作、系统配置、运营、故障处理及日常测试维护，从而确保系统能正常安全的运行。</w:t>
      </w:r>
    </w:p>
    <w:p w14:paraId="074C7CB7">
      <w:pPr>
        <w:pStyle w:val="9"/>
        <w:numPr>
          <w:ilvl w:val="0"/>
          <w:numId w:val="6"/>
        </w:numPr>
        <w:tabs>
          <w:tab w:val="left" w:pos="540"/>
        </w:tabs>
        <w:adjustRightInd w:val="0"/>
        <w:snapToGrid w:val="0"/>
        <w:spacing w:line="440" w:lineRule="exact"/>
        <w:ind w:left="0" w:firstLine="0" w:firstLineChars="0"/>
        <w:rPr>
          <w:rFonts w:hint="default" w:hAnsi="宋体" w:cs="宋体"/>
          <w:b/>
          <w:bCs/>
          <w:sz w:val="24"/>
          <w:szCs w:val="24"/>
          <w:highlight w:val="none"/>
        </w:rPr>
      </w:pPr>
      <w:r>
        <w:rPr>
          <w:rFonts w:hint="default" w:hAnsi="宋体" w:cs="宋体"/>
          <w:b/>
          <w:bCs/>
          <w:sz w:val="24"/>
          <w:szCs w:val="24"/>
          <w:highlight w:val="none"/>
        </w:rPr>
        <w:t>验收要求</w:t>
      </w:r>
    </w:p>
    <w:p w14:paraId="19EDEB5F">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1、系统供应商交货前应对产品作出全面检查和对验收文件进行整理，并列出清单，作为医院收货验收和使用的技术条件依据，检验的结果应随货物交院方。</w:t>
      </w:r>
    </w:p>
    <w:p w14:paraId="05F63115">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2、验收完毕后作出验收结果报告；验收相关费用由系统供应商负责。</w:t>
      </w:r>
    </w:p>
    <w:p w14:paraId="64F8DD0A">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3、采购人及医院是根据系统供应商所响应的所有项目进行整体验收，如系统供应商未能兑现任一项目，采购人及医院有权视整个项目验收不符合要求。</w:t>
      </w:r>
    </w:p>
    <w:p w14:paraId="0FED6076">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项目的工作内容及成果文档的提交应覆盖以下内容，电子文档是成果不可分割的部分，包括系统上线报告、系统操作说明书、接口方案、系统实施确认书、项目验收报告。</w:t>
      </w:r>
    </w:p>
    <w:p w14:paraId="02FCDE7E">
      <w:pPr>
        <w:pStyle w:val="9"/>
        <w:numPr>
          <w:ilvl w:val="0"/>
          <w:numId w:val="6"/>
        </w:numPr>
        <w:tabs>
          <w:tab w:val="left" w:pos="540"/>
        </w:tabs>
        <w:adjustRightInd w:val="0"/>
        <w:snapToGrid w:val="0"/>
        <w:spacing w:line="440" w:lineRule="exact"/>
        <w:ind w:left="0" w:firstLine="0" w:firstLineChars="0"/>
        <w:rPr>
          <w:rFonts w:hint="default" w:hAnsi="宋体" w:cs="宋体"/>
          <w:b/>
          <w:bCs/>
          <w:sz w:val="24"/>
          <w:szCs w:val="24"/>
          <w:highlight w:val="none"/>
        </w:rPr>
      </w:pPr>
      <w:r>
        <w:rPr>
          <w:rFonts w:hint="default" w:hAnsi="宋体" w:cs="宋体"/>
          <w:b/>
          <w:bCs/>
          <w:sz w:val="24"/>
          <w:szCs w:val="24"/>
          <w:highlight w:val="none"/>
        </w:rPr>
        <w:t>售后服务要求</w:t>
      </w:r>
    </w:p>
    <w:p w14:paraId="7932E29E">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1、系统供应商应有良好的服务理念和完善的售后服务体系，能够提供本地技术服务。</w:t>
      </w:r>
    </w:p>
    <w:p w14:paraId="47C00A09">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2、提供热线电话、传真和Email等多种途径随时回答与工程有关的技术问题，对存在的问题在24小时内提出解决方案。</w:t>
      </w:r>
    </w:p>
    <w:p w14:paraId="3ADA9D2A">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rPr>
      </w:pPr>
      <w:r>
        <w:rPr>
          <w:rFonts w:hint="default" w:hAnsi="宋体" w:cs="宋体"/>
          <w:b w:val="0"/>
          <w:bCs w:val="0"/>
          <w:sz w:val="24"/>
          <w:szCs w:val="24"/>
          <w:highlight w:val="none"/>
        </w:rPr>
        <w:t>3、定期跟踪和回访使用情况（每月至少一次），及时了解存在的问题，并随时给予解决。</w:t>
      </w:r>
    </w:p>
    <w:p w14:paraId="694EA71E">
      <w:pPr>
        <w:pStyle w:val="9"/>
        <w:numPr>
          <w:ilvl w:val="-1"/>
          <w:numId w:val="0"/>
        </w:numPr>
        <w:tabs>
          <w:tab w:val="left" w:pos="540"/>
        </w:tabs>
        <w:adjustRightInd w:val="0"/>
        <w:snapToGrid w:val="0"/>
        <w:spacing w:line="440" w:lineRule="exact"/>
        <w:ind w:left="0" w:firstLine="480" w:firstLineChars="200"/>
        <w:rPr>
          <w:rFonts w:hint="default" w:hAnsi="宋体" w:cs="宋体"/>
          <w:b w:val="0"/>
          <w:bCs w:val="0"/>
          <w:sz w:val="24"/>
          <w:szCs w:val="24"/>
          <w:highlight w:val="none"/>
          <w:lang w:val="en-US" w:eastAsia="zh-CN"/>
        </w:rPr>
      </w:pPr>
      <w:r>
        <w:rPr>
          <w:rFonts w:hint="default" w:hAnsi="宋体" w:cs="宋体"/>
          <w:b w:val="0"/>
          <w:bCs w:val="0"/>
          <w:sz w:val="24"/>
          <w:szCs w:val="24"/>
          <w:highlight w:val="none"/>
        </w:rPr>
        <w:t>4、针对本项目，提出完整而切实可行的服务方案。其中，至少应提供7×24小时热线电话、远程网络等服务方式。热线电话和远程网络提供技术咨询和即时服务，1小时内给予明确的响应并解决；排解重大故障，应在接到医院服务请求后2小时内解决。</w:t>
      </w:r>
    </w:p>
    <w:p w14:paraId="4A9E9D42">
      <w:pPr>
        <w:pStyle w:val="9"/>
        <w:numPr>
          <w:ilvl w:val="0"/>
          <w:numId w:val="2"/>
        </w:numPr>
        <w:tabs>
          <w:tab w:val="left" w:pos="540"/>
        </w:tabs>
        <w:adjustRightInd w:val="0"/>
        <w:snapToGrid w:val="0"/>
        <w:rPr>
          <w:rFonts w:hint="eastAsia" w:ascii="宋体" w:hAnsi="宋体" w:eastAsia="宋体" w:cs="宋体"/>
          <w:sz w:val="24"/>
          <w:szCs w:val="24"/>
          <w:highlight w:val="none"/>
        </w:rPr>
      </w:pPr>
      <w:r>
        <w:rPr>
          <w:rFonts w:hint="eastAsia" w:ascii="宋体" w:hAnsi="宋体" w:eastAsia="宋体" w:cs="宋体"/>
          <w:b/>
          <w:bCs/>
          <w:sz w:val="24"/>
          <w:szCs w:val="24"/>
          <w:highlight w:val="none"/>
        </w:rPr>
        <w:t>商务要求</w:t>
      </w:r>
    </w:p>
    <w:p w14:paraId="7F483260">
      <w:pPr>
        <w:pStyle w:val="20"/>
        <w:numPr>
          <w:ilvl w:val="0"/>
          <w:numId w:val="7"/>
        </w:numPr>
        <w:spacing w:line="440" w:lineRule="exact"/>
        <w:ind w:firstLine="0"/>
        <w:rPr>
          <w:rFonts w:hint="eastAsia" w:ascii="宋体" w:hAnsi="宋体" w:eastAsia="宋体" w:cs="宋体"/>
          <w:sz w:val="24"/>
          <w:szCs w:val="24"/>
          <w:highlight w:val="none"/>
        </w:rPr>
      </w:pPr>
      <w:r>
        <w:rPr>
          <w:rFonts w:hint="eastAsia" w:ascii="宋体" w:hAnsi="宋体" w:cs="宋体"/>
          <w:sz w:val="24"/>
          <w:szCs w:val="24"/>
          <w:highlight w:val="none"/>
        </w:rPr>
        <w:t>建设工期：自合同签订之日起</w:t>
      </w:r>
      <w:r>
        <w:rPr>
          <w:rFonts w:hint="eastAsia" w:ascii="宋体" w:hAnsi="宋体" w:cs="宋体"/>
          <w:sz w:val="24"/>
          <w:szCs w:val="24"/>
          <w:highlight w:val="none"/>
          <w:lang w:val="en-US" w:eastAsia="zh-CN"/>
        </w:rPr>
        <w:t>3</w:t>
      </w:r>
      <w:r>
        <w:rPr>
          <w:rFonts w:hint="eastAsia" w:ascii="宋体" w:hAnsi="宋体" w:cs="宋体"/>
          <w:sz w:val="24"/>
          <w:szCs w:val="24"/>
          <w:highlight w:val="none"/>
        </w:rPr>
        <w:t>个月内完成到货、安装、调试、上线工作。</w:t>
      </w:r>
    </w:p>
    <w:p w14:paraId="41EA293C">
      <w:pPr>
        <w:pStyle w:val="20"/>
        <w:numPr>
          <w:ilvl w:val="0"/>
          <w:numId w:val="7"/>
        </w:numPr>
        <w:spacing w:line="440" w:lineRule="exact"/>
        <w:ind w:firstLine="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项目实施</w:t>
      </w:r>
      <w:r>
        <w:rPr>
          <w:rFonts w:hint="eastAsia" w:ascii="宋体" w:hAnsi="宋体" w:eastAsia="宋体" w:cs="宋体"/>
          <w:sz w:val="24"/>
          <w:szCs w:val="24"/>
          <w:highlight w:val="none"/>
        </w:rPr>
        <w:t>地点：</w:t>
      </w:r>
      <w:r>
        <w:rPr>
          <w:rFonts w:hint="eastAsia" w:ascii="宋体" w:hAnsi="宋体" w:cs="宋体"/>
          <w:sz w:val="24"/>
          <w:szCs w:val="24"/>
          <w:highlight w:val="none"/>
          <w:lang w:val="en-US" w:eastAsia="zh-CN"/>
        </w:rPr>
        <w:t>广东省广州市海珠区石榴岗路13号大院</w:t>
      </w:r>
      <w:r>
        <w:rPr>
          <w:rFonts w:hint="default" w:ascii="宋体" w:hAnsi="宋体" w:cs="宋体"/>
          <w:sz w:val="24"/>
          <w:szCs w:val="24"/>
          <w:highlight w:val="none"/>
          <w:lang w:val="en-US" w:eastAsia="zh-CN"/>
        </w:rPr>
        <w:t> </w:t>
      </w:r>
    </w:p>
    <w:p w14:paraId="3BF07426">
      <w:pPr>
        <w:pStyle w:val="20"/>
        <w:numPr>
          <w:ilvl w:val="0"/>
          <w:numId w:val="7"/>
        </w:numPr>
        <w:spacing w:line="440" w:lineRule="exact"/>
        <w:ind w:firstLine="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维护期要求：</w:t>
      </w:r>
      <w:r>
        <w:rPr>
          <w:rFonts w:hint="eastAsia" w:ascii="宋体" w:hAnsi="宋体" w:eastAsia="宋体" w:cs="宋体"/>
          <w:sz w:val="21"/>
          <w:szCs w:val="21"/>
          <w:highlight w:val="none"/>
          <w:lang w:val="en-US" w:eastAsia="zh-CN"/>
        </w:rPr>
        <w:t>项目验收之日起</w:t>
      </w:r>
      <w:r>
        <w:rPr>
          <w:rFonts w:hint="eastAsia" w:ascii="宋体" w:hAnsi="宋体" w:cs="宋体"/>
          <w:sz w:val="24"/>
          <w:szCs w:val="24"/>
          <w:highlight w:val="none"/>
          <w:lang w:val="en-US" w:eastAsia="zh-CN"/>
        </w:rPr>
        <w:t>1年维护服务。</w:t>
      </w:r>
    </w:p>
    <w:p w14:paraId="26684947">
      <w:pPr>
        <w:pStyle w:val="20"/>
        <w:numPr>
          <w:ilvl w:val="0"/>
          <w:numId w:val="7"/>
        </w:numPr>
        <w:spacing w:line="440" w:lineRule="exact"/>
        <w:ind w:firstLine="0"/>
        <w:rPr>
          <w:rFonts w:ascii="仿宋_GB2312" w:hAnsi="仿宋_GB2312" w:eastAsia="仿宋_GB2312"/>
          <w:highlight w:val="none"/>
        </w:rPr>
      </w:pPr>
      <w:r>
        <w:rPr>
          <w:rFonts w:hint="eastAsia" w:ascii="宋体" w:hAnsi="宋体" w:eastAsia="宋体" w:cs="宋体"/>
          <w:sz w:val="24"/>
          <w:szCs w:val="24"/>
          <w:highlight w:val="none"/>
        </w:rPr>
        <w:t>支付</w:t>
      </w:r>
      <w:r>
        <w:rPr>
          <w:rFonts w:hint="eastAsia" w:ascii="宋体" w:hAnsi="宋体" w:cs="宋体"/>
          <w:sz w:val="24"/>
          <w:szCs w:val="24"/>
          <w:highlight w:val="none"/>
          <w:lang w:val="en-US" w:eastAsia="zh-CN"/>
        </w:rPr>
        <w:t>方式</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合同签订后，甲方在收到乙方开具相应金额正式发票后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个工作日内完成办理支付申请手续，付款按有关规定办理，支付合同总价的</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0%，即人民币</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元(大写: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元整)。合同内容全部完成并通过甲方的验收，甲方在收到乙方开具相应金额正式发票后</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个工作日内，向乙方支付合同总金额的</w:t>
      </w:r>
      <w:r>
        <w:rPr>
          <w:rFonts w:hint="eastAsia" w:ascii="宋体" w:hAnsi="宋体" w:cs="宋体"/>
          <w:sz w:val="24"/>
          <w:szCs w:val="24"/>
          <w:highlight w:val="none"/>
          <w:lang w:val="en-US" w:eastAsia="zh-CN"/>
        </w:rPr>
        <w:t>50</w:t>
      </w:r>
      <w:r>
        <w:rPr>
          <w:rFonts w:hint="eastAsia" w:ascii="宋体" w:hAnsi="宋体" w:eastAsia="宋体" w:cs="宋体"/>
          <w:sz w:val="24"/>
          <w:szCs w:val="24"/>
          <w:highlight w:val="none"/>
          <w:lang w:val="en-US" w:eastAsia="zh-CN"/>
        </w:rPr>
        <w:t>%，即人民币</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元(大写:</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如因中标人原因导致采购人延迟支付的，采购人不承担延迟责任。</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5069A8A7-767F-43BC-9277-DA10A4DAA929}"/>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E98F808D-D01E-4ABD-ADC8-8BC4D7871A4D}"/>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0709A"/>
    <w:multiLevelType w:val="singleLevel"/>
    <w:tmpl w:val="85D0709A"/>
    <w:lvl w:ilvl="0" w:tentative="0">
      <w:start w:val="1"/>
      <w:numFmt w:val="decimal"/>
      <w:lvlText w:val="%1."/>
      <w:lvlJc w:val="left"/>
      <w:pPr>
        <w:ind w:left="425" w:hanging="425"/>
      </w:pPr>
      <w:rPr>
        <w:rFonts w:hint="default"/>
      </w:rPr>
    </w:lvl>
  </w:abstractNum>
  <w:abstractNum w:abstractNumId="1">
    <w:nsid w:val="A3DC21C6"/>
    <w:multiLevelType w:val="singleLevel"/>
    <w:tmpl w:val="A3DC21C6"/>
    <w:lvl w:ilvl="0" w:tentative="0">
      <w:start w:val="1"/>
      <w:numFmt w:val="chineseCounting"/>
      <w:suff w:val="space"/>
      <w:lvlText w:val="第%1部分"/>
      <w:lvlJc w:val="left"/>
      <w:rPr>
        <w:rFonts w:hint="eastAsia"/>
      </w:rPr>
    </w:lvl>
  </w:abstractNum>
  <w:abstractNum w:abstractNumId="2">
    <w:nsid w:val="B8F290CA"/>
    <w:multiLevelType w:val="singleLevel"/>
    <w:tmpl w:val="B8F290CA"/>
    <w:lvl w:ilvl="0" w:tentative="0">
      <w:start w:val="1"/>
      <w:numFmt w:val="chineseCounting"/>
      <w:suff w:val="nothing"/>
      <w:lvlText w:val="（%1）"/>
      <w:lvlJc w:val="left"/>
      <w:pPr>
        <w:ind w:left="0" w:firstLine="0"/>
      </w:pPr>
      <w:rPr>
        <w:rFonts w:hint="eastAsia"/>
      </w:rPr>
    </w:lvl>
  </w:abstractNum>
  <w:abstractNum w:abstractNumId="3">
    <w:nsid w:val="BD750190"/>
    <w:multiLevelType w:val="multilevel"/>
    <w:tmpl w:val="BD750190"/>
    <w:lvl w:ilvl="0" w:tentative="0">
      <w:start w:val="1"/>
      <w:numFmt w:val="chineseCounting"/>
      <w:suff w:val="nothing"/>
      <w:lvlText w:val="（%1）"/>
      <w:lvlJc w:val="left"/>
      <w:pPr>
        <w:ind w:left="0" w:firstLine="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
    <w:nsid w:val="12BA6071"/>
    <w:multiLevelType w:val="singleLevel"/>
    <w:tmpl w:val="12BA6071"/>
    <w:lvl w:ilvl="0" w:tentative="0">
      <w:start w:val="1"/>
      <w:numFmt w:val="chineseCounting"/>
      <w:suff w:val="nothing"/>
      <w:lvlText w:val="（%1）"/>
      <w:lvlJc w:val="left"/>
      <w:pPr>
        <w:ind w:left="0" w:firstLine="0"/>
      </w:pPr>
      <w:rPr>
        <w:rFonts w:hint="eastAsia"/>
      </w:rPr>
    </w:lvl>
  </w:abstractNum>
  <w:abstractNum w:abstractNumId="5">
    <w:nsid w:val="25AC778E"/>
    <w:multiLevelType w:val="multilevel"/>
    <w:tmpl w:val="25AC778E"/>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6CD11AC"/>
    <w:multiLevelType w:val="multilevel"/>
    <w:tmpl w:val="36CD11AC"/>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OTZjMzljZWJlOWYxNjFjYmU1ZDI5ZDdhMmRlZjQifQ=="/>
  </w:docVars>
  <w:rsids>
    <w:rsidRoot w:val="4FCC62BF"/>
    <w:rsid w:val="0002129A"/>
    <w:rsid w:val="00035A2F"/>
    <w:rsid w:val="00060836"/>
    <w:rsid w:val="000C6EAD"/>
    <w:rsid w:val="0016541E"/>
    <w:rsid w:val="001F10DE"/>
    <w:rsid w:val="002667FE"/>
    <w:rsid w:val="00272409"/>
    <w:rsid w:val="00285230"/>
    <w:rsid w:val="002B6560"/>
    <w:rsid w:val="002C171D"/>
    <w:rsid w:val="002F0FA4"/>
    <w:rsid w:val="003A7D0A"/>
    <w:rsid w:val="003C6A23"/>
    <w:rsid w:val="00457BB1"/>
    <w:rsid w:val="00467DF6"/>
    <w:rsid w:val="005D37B5"/>
    <w:rsid w:val="005F599E"/>
    <w:rsid w:val="006720A1"/>
    <w:rsid w:val="00685ED7"/>
    <w:rsid w:val="006E0E76"/>
    <w:rsid w:val="006E498E"/>
    <w:rsid w:val="00734823"/>
    <w:rsid w:val="0089745E"/>
    <w:rsid w:val="009A1280"/>
    <w:rsid w:val="009A2F9C"/>
    <w:rsid w:val="00A2388F"/>
    <w:rsid w:val="00A255B8"/>
    <w:rsid w:val="00A82729"/>
    <w:rsid w:val="00A8332F"/>
    <w:rsid w:val="00A94B34"/>
    <w:rsid w:val="00AA62FD"/>
    <w:rsid w:val="00AD6977"/>
    <w:rsid w:val="00AF0EE9"/>
    <w:rsid w:val="00B54747"/>
    <w:rsid w:val="00BD67EA"/>
    <w:rsid w:val="00CE444F"/>
    <w:rsid w:val="00D3296B"/>
    <w:rsid w:val="00D505F9"/>
    <w:rsid w:val="00D61DB9"/>
    <w:rsid w:val="00EE486E"/>
    <w:rsid w:val="00F13F3D"/>
    <w:rsid w:val="00F24E4F"/>
    <w:rsid w:val="00F66432"/>
    <w:rsid w:val="01D52D94"/>
    <w:rsid w:val="03C51232"/>
    <w:rsid w:val="04E565D4"/>
    <w:rsid w:val="04FD587E"/>
    <w:rsid w:val="05FB03C8"/>
    <w:rsid w:val="06796795"/>
    <w:rsid w:val="06C70123"/>
    <w:rsid w:val="07F20460"/>
    <w:rsid w:val="08D93C76"/>
    <w:rsid w:val="0DF11CEA"/>
    <w:rsid w:val="10952FFB"/>
    <w:rsid w:val="15B339AE"/>
    <w:rsid w:val="15D83621"/>
    <w:rsid w:val="18882D01"/>
    <w:rsid w:val="18BD4825"/>
    <w:rsid w:val="1C3D380E"/>
    <w:rsid w:val="1D667537"/>
    <w:rsid w:val="1EE70698"/>
    <w:rsid w:val="21665196"/>
    <w:rsid w:val="21EE48C0"/>
    <w:rsid w:val="223A40EF"/>
    <w:rsid w:val="22A3088F"/>
    <w:rsid w:val="2389227E"/>
    <w:rsid w:val="249977F4"/>
    <w:rsid w:val="263F0855"/>
    <w:rsid w:val="26E906B9"/>
    <w:rsid w:val="2CA32B27"/>
    <w:rsid w:val="35503F04"/>
    <w:rsid w:val="36004966"/>
    <w:rsid w:val="36276659"/>
    <w:rsid w:val="370E20D9"/>
    <w:rsid w:val="3B855673"/>
    <w:rsid w:val="3BAE31EC"/>
    <w:rsid w:val="3CFD2AC5"/>
    <w:rsid w:val="3D875E71"/>
    <w:rsid w:val="41377F7D"/>
    <w:rsid w:val="4461438C"/>
    <w:rsid w:val="4543618E"/>
    <w:rsid w:val="45E9789C"/>
    <w:rsid w:val="47086DC5"/>
    <w:rsid w:val="474A0BD4"/>
    <w:rsid w:val="4A552B75"/>
    <w:rsid w:val="4BD016F9"/>
    <w:rsid w:val="4C2F046C"/>
    <w:rsid w:val="4D12627F"/>
    <w:rsid w:val="4E015A25"/>
    <w:rsid w:val="4EBA4079"/>
    <w:rsid w:val="4F0F5D09"/>
    <w:rsid w:val="4FCC62BF"/>
    <w:rsid w:val="4FD825DC"/>
    <w:rsid w:val="51880C4A"/>
    <w:rsid w:val="55545149"/>
    <w:rsid w:val="591655B8"/>
    <w:rsid w:val="5AAD1584"/>
    <w:rsid w:val="5C877BB2"/>
    <w:rsid w:val="619B0865"/>
    <w:rsid w:val="620D4E48"/>
    <w:rsid w:val="62CC7BEC"/>
    <w:rsid w:val="63223161"/>
    <w:rsid w:val="64DE67DD"/>
    <w:rsid w:val="65C97660"/>
    <w:rsid w:val="665073B6"/>
    <w:rsid w:val="68823FC5"/>
    <w:rsid w:val="6B40254A"/>
    <w:rsid w:val="6B7D57E7"/>
    <w:rsid w:val="6C802535"/>
    <w:rsid w:val="6DB620AF"/>
    <w:rsid w:val="6DB63E53"/>
    <w:rsid w:val="6EBC3647"/>
    <w:rsid w:val="6F7C0F5C"/>
    <w:rsid w:val="6FA015C0"/>
    <w:rsid w:val="70224441"/>
    <w:rsid w:val="73684C03"/>
    <w:rsid w:val="745D70B1"/>
    <w:rsid w:val="75C36A9D"/>
    <w:rsid w:val="77425518"/>
    <w:rsid w:val="77F30D3D"/>
    <w:rsid w:val="791F5373"/>
    <w:rsid w:val="79E50318"/>
    <w:rsid w:val="79FA3203"/>
    <w:rsid w:val="7A502ACC"/>
    <w:rsid w:val="7B9C3BD1"/>
    <w:rsid w:val="7BEE6EAE"/>
    <w:rsid w:val="7D0A3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qFormat/>
    <w:uiPriority w:val="0"/>
    <w:pPr>
      <w:keepNext/>
      <w:outlineLvl w:val="2"/>
    </w:pPr>
    <w:rPr>
      <w:rFonts w:ascii="楷体_GB2312" w:hAnsi="宋体" w:eastAsia="楷体_GB2312"/>
      <w:b/>
      <w:bCs/>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4"/>
    <w:unhideWhenUsed/>
    <w:qFormat/>
    <w:uiPriority w:val="99"/>
    <w:pPr>
      <w:jc w:val="left"/>
    </w:pPr>
  </w:style>
  <w:style w:type="paragraph" w:styleId="7">
    <w:name w:val="Body Text"/>
    <w:basedOn w:val="1"/>
    <w:qFormat/>
    <w:uiPriority w:val="0"/>
    <w:pPr>
      <w:spacing w:line="360" w:lineRule="auto"/>
    </w:pPr>
    <w:rPr>
      <w:szCs w:val="20"/>
    </w:rPr>
  </w:style>
  <w:style w:type="paragraph" w:styleId="8">
    <w:name w:val="Body Text Indent"/>
    <w:basedOn w:val="1"/>
    <w:qFormat/>
    <w:uiPriority w:val="0"/>
    <w:pPr>
      <w:ind w:firstLine="830" w:firstLineChars="352"/>
    </w:pPr>
    <w:rPr>
      <w:rFonts w:ascii="仿宋_GB2312" w:eastAsia="仿宋_GB2312"/>
      <w:sz w:val="32"/>
      <w:szCs w:val="20"/>
    </w:rPr>
  </w:style>
  <w:style w:type="paragraph" w:styleId="9">
    <w:name w:val="Plain Text"/>
    <w:basedOn w:val="1"/>
    <w:qFormat/>
    <w:uiPriority w:val="0"/>
    <w:rPr>
      <w:rFonts w:ascii="宋体" w:hAnsi="Courier New"/>
      <w:kern w:val="0"/>
      <w:sz w:val="20"/>
      <w:szCs w:val="21"/>
    </w:rPr>
  </w:style>
  <w:style w:type="paragraph" w:styleId="10">
    <w:name w:val="footer"/>
    <w:basedOn w:val="1"/>
    <w:link w:val="30"/>
    <w:qFormat/>
    <w:uiPriority w:val="0"/>
    <w:pPr>
      <w:tabs>
        <w:tab w:val="center" w:pos="4153"/>
        <w:tab w:val="right" w:pos="8306"/>
      </w:tabs>
      <w:snapToGrid w:val="0"/>
      <w:jc w:val="left"/>
    </w:pPr>
    <w:rPr>
      <w:sz w:val="18"/>
      <w:szCs w:val="18"/>
    </w:rPr>
  </w:style>
  <w:style w:type="paragraph" w:styleId="11">
    <w:name w:val="header"/>
    <w:basedOn w:val="1"/>
    <w:link w:val="29"/>
    <w:qFormat/>
    <w:uiPriority w:val="0"/>
    <w:pPr>
      <w:tabs>
        <w:tab w:val="center" w:pos="4153"/>
        <w:tab w:val="right" w:pos="8306"/>
      </w:tabs>
      <w:snapToGrid w:val="0"/>
      <w:jc w:val="center"/>
    </w:pPr>
    <w:rPr>
      <w:sz w:val="18"/>
      <w:szCs w:val="18"/>
    </w:rPr>
  </w:style>
  <w:style w:type="paragraph" w:styleId="12">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13">
    <w:name w:val="Normal (Web)"/>
    <w:basedOn w:val="1"/>
    <w:qFormat/>
    <w:uiPriority w:val="0"/>
    <w:pPr>
      <w:spacing w:beforeAutospacing="1" w:afterAutospacing="1"/>
      <w:jc w:val="left"/>
    </w:pPr>
    <w:rPr>
      <w:kern w:val="0"/>
      <w:sz w:val="24"/>
    </w:rPr>
  </w:style>
  <w:style w:type="paragraph" w:styleId="14">
    <w:name w:val="annotation subject"/>
    <w:basedOn w:val="6"/>
    <w:next w:val="6"/>
    <w:link w:val="25"/>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unhideWhenUsed/>
    <w:qFormat/>
    <w:uiPriority w:val="99"/>
    <w:rPr>
      <w:color w:val="0563C1"/>
      <w:u w:val="single"/>
    </w:rPr>
  </w:style>
  <w:style w:type="character" w:styleId="19">
    <w:name w:val="annotation reference"/>
    <w:basedOn w:val="17"/>
    <w:unhideWhenUsed/>
    <w:qFormat/>
    <w:uiPriority w:val="99"/>
    <w:rPr>
      <w:sz w:val="21"/>
      <w:szCs w:val="21"/>
    </w:rPr>
  </w:style>
  <w:style w:type="paragraph" w:customStyle="1" w:styleId="20">
    <w:name w:val="正文正"/>
    <w:basedOn w:val="1"/>
    <w:qFormat/>
    <w:uiPriority w:val="0"/>
    <w:pPr>
      <w:spacing w:line="560" w:lineRule="exact"/>
      <w:ind w:firstLine="561"/>
    </w:pPr>
    <w:rPr>
      <w:rFonts w:ascii="Calibri" w:hAnsi="Calibri"/>
      <w:sz w:val="28"/>
      <w:szCs w:val="28"/>
    </w:rPr>
  </w:style>
  <w:style w:type="paragraph" w:styleId="21">
    <w:name w:val="List Paragraph"/>
    <w:basedOn w:val="1"/>
    <w:qFormat/>
    <w:uiPriority w:val="99"/>
    <w:pPr>
      <w:ind w:firstLine="420" w:firstLineChars="200"/>
    </w:pPr>
  </w:style>
  <w:style w:type="paragraph" w:customStyle="1" w:styleId="22">
    <w:name w:val="_Style 28"/>
    <w:basedOn w:val="1"/>
    <w:next w:val="21"/>
    <w:qFormat/>
    <w:uiPriority w:val="99"/>
    <w:pPr>
      <w:ind w:firstLine="420" w:firstLineChars="200"/>
    </w:pPr>
  </w:style>
  <w:style w:type="paragraph" w:customStyle="1" w:styleId="23">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24">
    <w:name w:val="批注文字 字符"/>
    <w:basedOn w:val="17"/>
    <w:link w:val="6"/>
    <w:qFormat/>
    <w:uiPriority w:val="99"/>
    <w:rPr>
      <w:kern w:val="2"/>
      <w:sz w:val="21"/>
      <w:szCs w:val="22"/>
    </w:rPr>
  </w:style>
  <w:style w:type="character" w:customStyle="1" w:styleId="25">
    <w:name w:val="批注主题 字符"/>
    <w:basedOn w:val="24"/>
    <w:link w:val="14"/>
    <w:qFormat/>
    <w:uiPriority w:val="0"/>
    <w:rPr>
      <w:b/>
      <w:bCs/>
      <w:kern w:val="2"/>
      <w:sz w:val="21"/>
      <w:szCs w:val="22"/>
    </w:rPr>
  </w:style>
  <w:style w:type="paragraph" w:customStyle="1" w:styleId="26">
    <w:name w:val="列出段落1"/>
    <w:basedOn w:val="1"/>
    <w:qFormat/>
    <w:uiPriority w:val="99"/>
    <w:pPr>
      <w:ind w:firstLine="420" w:firstLineChars="200"/>
    </w:pPr>
    <w:rPr>
      <w:szCs w:val="21"/>
    </w:rPr>
  </w:style>
  <w:style w:type="paragraph" w:customStyle="1" w:styleId="27">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28">
    <w:name w:val="标题 1 字符"/>
    <w:basedOn w:val="17"/>
    <w:link w:val="2"/>
    <w:qFormat/>
    <w:uiPriority w:val="0"/>
    <w:rPr>
      <w:b/>
      <w:bCs/>
      <w:kern w:val="44"/>
      <w:sz w:val="44"/>
      <w:szCs w:val="44"/>
    </w:rPr>
  </w:style>
  <w:style w:type="character" w:customStyle="1" w:styleId="29">
    <w:name w:val="页眉 字符"/>
    <w:basedOn w:val="17"/>
    <w:link w:val="11"/>
    <w:qFormat/>
    <w:uiPriority w:val="0"/>
    <w:rPr>
      <w:kern w:val="2"/>
      <w:sz w:val="18"/>
      <w:szCs w:val="18"/>
    </w:rPr>
  </w:style>
  <w:style w:type="character" w:customStyle="1" w:styleId="30">
    <w:name w:val="页脚 字符"/>
    <w:basedOn w:val="17"/>
    <w:link w:val="10"/>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4765</Words>
  <Characters>4866</Characters>
  <Lines>43</Lines>
  <Paragraphs>12</Paragraphs>
  <TotalTime>7</TotalTime>
  <ScaleCrop>false</ScaleCrop>
  <LinksUpToDate>false</LinksUpToDate>
  <CharactersWithSpaces>5348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2023-06-27T09:27:00Z</dcterms:created>
  <dc:creator>cissy</dc:creator>
  <cp:lastModifiedBy>弘毅</cp:lastModifiedBy>
  <dcterms:modified xsi:type="dcterms:W3CDTF">2025-07-15T03:03:20Z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EA0327EC3FDE41B98C87DEB41BD318F5_13</vt:lpwstr>
  </property>
  <property fmtid="{D5CDD505-2E9C-101B-9397-08002B2CF9AE}" pid="4" name="KSOTemplateDocerSaveRecord">
    <vt:lpwstr>eyJoZGlkIjoiZjFmZWIzNDg2MmIzZjExOTIzMmViNTBmYTMwYTk0ZWYiLCJ1c2VySWQiOiI0MDY5MzA4NTgifQ==</vt:lpwstr>
  </property>
</Properties>
</file>