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A6C6">
      <w:pPr>
        <w:pStyle w:val="2"/>
        <w:bidi w:val="0"/>
        <w:jc w:val="center"/>
        <w:rPr>
          <w:rFonts w:hint="eastAsia"/>
          <w:lang w:val="en-US" w:eastAsia="zh-CN"/>
        </w:rPr>
      </w:pPr>
      <w:r>
        <w:rPr>
          <w:rFonts w:hint="eastAsia"/>
        </w:rPr>
        <w:t>医院车辆出入道闸系统采购项目采购</w:t>
      </w:r>
      <w:r>
        <w:rPr>
          <w:rFonts w:hint="eastAsia"/>
          <w:lang w:val="en-US" w:eastAsia="zh-CN"/>
        </w:rPr>
        <w:t>文件</w:t>
      </w:r>
    </w:p>
    <w:p w14:paraId="347928B5">
      <w:pPr>
        <w:pStyle w:val="3"/>
        <w:numPr>
          <w:ilvl w:val="0"/>
          <w:numId w:val="2"/>
        </w:numPr>
        <w:bidi w:val="0"/>
      </w:pPr>
      <w:r>
        <w:rPr>
          <w:rFonts w:hint="eastAsia"/>
        </w:rPr>
        <w:t>项目名称</w:t>
      </w:r>
    </w:p>
    <w:p w14:paraId="3E5DEB03">
      <w:pPr>
        <w:pStyle w:val="8"/>
        <w:bidi w:val="0"/>
        <w:rPr>
          <w:rFonts w:hint="eastAsia"/>
        </w:rPr>
      </w:pPr>
      <w:r>
        <w:rPr>
          <w:rFonts w:hint="eastAsia"/>
          <w:lang w:val="en-US" w:eastAsia="zh-CN"/>
        </w:rPr>
        <w:t>项目名称：</w:t>
      </w:r>
      <w:r>
        <w:rPr>
          <w:rFonts w:hint="eastAsia"/>
        </w:rPr>
        <w:t>医院车辆出入道闸系统采购项目</w:t>
      </w:r>
    </w:p>
    <w:p w14:paraId="7ADBB641">
      <w:pPr>
        <w:pStyle w:val="8"/>
        <w:bidi w:val="0"/>
        <w:rPr>
          <w:rFonts w:hint="default"/>
          <w:lang w:val="en-US" w:eastAsia="zh-CN"/>
        </w:rPr>
      </w:pPr>
      <w:r>
        <w:rPr>
          <w:rFonts w:hint="eastAsia"/>
          <w:lang w:val="en-US" w:eastAsia="zh-CN"/>
        </w:rPr>
        <w:t>项目编号：NFZXY-2025-00030</w:t>
      </w:r>
    </w:p>
    <w:p w14:paraId="3D836BE0">
      <w:pPr>
        <w:pStyle w:val="3"/>
        <w:numPr>
          <w:ilvl w:val="0"/>
          <w:numId w:val="2"/>
        </w:numPr>
        <w:bidi w:val="0"/>
      </w:pPr>
      <w:r>
        <w:rPr>
          <w:rFonts w:hint="eastAsia"/>
        </w:rPr>
        <w:t>参选人资格</w:t>
      </w:r>
    </w:p>
    <w:p w14:paraId="3C7D1864">
      <w:pPr>
        <w:pStyle w:val="8"/>
        <w:bidi w:val="0"/>
        <w:rPr>
          <w:rFonts w:hint="eastAsia"/>
        </w:rPr>
      </w:pPr>
      <w:r>
        <w:rPr>
          <w:rFonts w:hint="eastAsia"/>
        </w:rPr>
        <w:t>1.供应商应具备以下规定的条件，并提供下列材料：</w:t>
      </w:r>
    </w:p>
    <w:p w14:paraId="53F11873">
      <w:pPr>
        <w:pStyle w:val="8"/>
        <w:bidi w:val="0"/>
        <w:rPr>
          <w:rFonts w:hint="eastAsia"/>
        </w:rPr>
      </w:pPr>
      <w:r>
        <w:rPr>
          <w:rFonts w:hint="eastAsia"/>
        </w:rPr>
        <w:t>（1）具有独立承担民事责任的能力：提供在中华人民共和国境内注册的法人或其他组织的营业执照或事业单位法人证书或社会团体法人登记证书复印件，如响应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14:paraId="7FF71812">
      <w:pPr>
        <w:pStyle w:val="8"/>
        <w:bidi w:val="0"/>
        <w:rPr>
          <w:rFonts w:hint="eastAsia"/>
        </w:rPr>
      </w:pPr>
      <w:r>
        <w:rPr>
          <w:rFonts w:hint="eastAsia"/>
        </w:rPr>
        <w:t>（2）具有良好的商业信誉和健全的财务会计制度：提供2022或者2023年度财务状况报告或基本开户行（或基本存款账户行）出具的资信证明，或最近一期财务报表（适用在上一年度或本财务年度成立的法人或其他组织），或提供《供应商资格声明函》。</w:t>
      </w:r>
    </w:p>
    <w:p w14:paraId="69DFAB01">
      <w:pPr>
        <w:pStyle w:val="8"/>
        <w:bidi w:val="0"/>
        <w:rPr>
          <w:rFonts w:hint="eastAsia"/>
        </w:rPr>
      </w:pPr>
      <w:r>
        <w:rPr>
          <w:rFonts w:hint="eastAsia"/>
        </w:rPr>
        <w:t>（3）具有依法缴纳税收和社会保障资金的良好记录：提供所属期限为响应截止日前12个月内任意1个月依法缴纳税收和社会保障资金的相关材料。如依法免税或不需要缴纳社会保障资金的，提供相应证明材料，或提供《供应商资格声明函》。</w:t>
      </w:r>
    </w:p>
    <w:p w14:paraId="659379AE">
      <w:pPr>
        <w:pStyle w:val="8"/>
        <w:bidi w:val="0"/>
        <w:rPr>
          <w:rFonts w:hint="eastAsia"/>
        </w:rPr>
      </w:pPr>
      <w:r>
        <w:rPr>
          <w:rFonts w:hint="eastAsia"/>
        </w:rPr>
        <w:t>（4）具有履行合同所必须的设备和专业技术能力：按响应文件格式填报设备及专业技术能力情况或提供《供应商资格声明函》。</w:t>
      </w:r>
    </w:p>
    <w:p w14:paraId="2450647F">
      <w:pPr>
        <w:pStyle w:val="8"/>
        <w:bidi w:val="0"/>
        <w:rPr>
          <w:rFonts w:hint="eastAsia"/>
        </w:rPr>
      </w:pPr>
      <w:r>
        <w:rPr>
          <w:rFonts w:hint="eastAsia"/>
        </w:rPr>
        <w:t>（5）参加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供应商资格声明函》。</w:t>
      </w:r>
    </w:p>
    <w:p w14:paraId="143D7D0B">
      <w:pPr>
        <w:pStyle w:val="8"/>
        <w:bidi w:val="0"/>
        <w:rPr>
          <w:rFonts w:hint="eastAsia"/>
        </w:rPr>
      </w:pPr>
      <w:r>
        <w:rPr>
          <w:rFonts w:hint="eastAsia"/>
        </w:rPr>
        <w:t>2.信用记录：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14:paraId="699C762A">
      <w:pPr>
        <w:pStyle w:val="8"/>
        <w:bidi w:val="0"/>
        <w:rPr>
          <w:rFonts w:hint="eastAsia"/>
        </w:rPr>
      </w:pPr>
      <w:r>
        <w:rPr>
          <w:rFonts w:hint="eastAsia"/>
        </w:rPr>
        <w:t>3.供应商必须符合法律、行政法规规定的其他条件：</w:t>
      </w:r>
    </w:p>
    <w:p w14:paraId="1170AB0A">
      <w:pPr>
        <w:pStyle w:val="8"/>
        <w:bidi w:val="0"/>
        <w:rPr>
          <w:rFonts w:hint="eastAsia"/>
        </w:rPr>
      </w:pPr>
      <w:r>
        <w:rPr>
          <w:rFonts w:hint="eastAsia"/>
        </w:rPr>
        <w:t>（1）单位负责人为同一人或者存在直接控股、管理关系的不同供应商，不得同时参加本采购项目（采购包）响应。提供《供应商资格声明函》。</w:t>
      </w:r>
    </w:p>
    <w:p w14:paraId="491FDA10">
      <w:pPr>
        <w:pStyle w:val="8"/>
        <w:bidi w:val="0"/>
        <w:rPr>
          <w:rFonts w:hint="eastAsia"/>
        </w:rPr>
      </w:pPr>
      <w:r>
        <w:rPr>
          <w:rFonts w:hint="eastAsia"/>
        </w:rPr>
        <w:t>（2）为本项目提供整体设计、规范编制或者项目管理、监理、检测等服务的供应商，不得再参与本项目（采购包）响应。提供《供应商资格声明函》。</w:t>
      </w:r>
    </w:p>
    <w:p w14:paraId="2CEBCCFE">
      <w:pPr>
        <w:pStyle w:val="8"/>
        <w:bidi w:val="0"/>
        <w:rPr>
          <w:rFonts w:hint="eastAsia"/>
        </w:rPr>
      </w:pPr>
      <w:r>
        <w:rPr>
          <w:rFonts w:hint="eastAsia"/>
        </w:rPr>
        <w:t>（3）供应商已按</w:t>
      </w:r>
      <w:r>
        <w:rPr>
          <w:rFonts w:hint="eastAsia"/>
          <w:lang w:val="en-US" w:eastAsia="zh-CN"/>
        </w:rPr>
        <w:t>采购</w:t>
      </w:r>
      <w:r>
        <w:rPr>
          <w:rFonts w:hint="eastAsia"/>
        </w:rPr>
        <w:t>公告</w:t>
      </w:r>
      <w:r>
        <w:rPr>
          <w:rFonts w:hint="eastAsia"/>
          <w:lang w:val="en-US" w:eastAsia="zh-CN"/>
        </w:rPr>
        <w:t>的</w:t>
      </w:r>
      <w:r>
        <w:rPr>
          <w:rFonts w:hint="eastAsia"/>
        </w:rPr>
        <w:t>规定获取了</w:t>
      </w:r>
      <w:r>
        <w:rPr>
          <w:rFonts w:hint="eastAsia"/>
          <w:lang w:val="en-US" w:eastAsia="zh-CN"/>
        </w:rPr>
        <w:t>采购</w:t>
      </w:r>
      <w:r>
        <w:rPr>
          <w:rFonts w:hint="eastAsia"/>
        </w:rPr>
        <w:t>文件。</w:t>
      </w:r>
    </w:p>
    <w:p w14:paraId="2435785A">
      <w:pPr>
        <w:pStyle w:val="8"/>
        <w:bidi w:val="0"/>
        <w:rPr>
          <w:rFonts w:hint="eastAsia"/>
        </w:rPr>
      </w:pPr>
      <w:r>
        <w:rPr>
          <w:rFonts w:hint="eastAsia"/>
        </w:rPr>
        <w:t>（4）本项目不接受联合体响应。</w:t>
      </w:r>
    </w:p>
    <w:p w14:paraId="798ED966">
      <w:pPr>
        <w:pStyle w:val="3"/>
        <w:numPr>
          <w:ilvl w:val="0"/>
          <w:numId w:val="2"/>
        </w:numPr>
        <w:bidi w:val="0"/>
      </w:pPr>
      <w:r>
        <w:rPr>
          <w:rFonts w:hint="eastAsia"/>
          <w:lang w:val="en-US" w:eastAsia="zh-CN"/>
        </w:rPr>
        <w:t>采购</w:t>
      </w:r>
      <w:r>
        <w:rPr>
          <w:rFonts w:hint="eastAsia"/>
        </w:rPr>
        <w:t>需求</w:t>
      </w:r>
    </w:p>
    <w:p w14:paraId="76CA9318">
      <w:pPr>
        <w:pStyle w:val="8"/>
        <w:bidi w:val="0"/>
        <w:rPr>
          <w:rFonts w:hint="eastAsia"/>
          <w:b/>
          <w:bCs/>
          <w:lang w:val="en-US" w:eastAsia="zh-CN"/>
        </w:rPr>
      </w:pPr>
      <w:r>
        <w:rPr>
          <w:rFonts w:hint="eastAsia"/>
          <w:b/>
          <w:bCs/>
          <w:lang w:val="en-US" w:eastAsia="zh-CN"/>
        </w:rPr>
        <w:t>1、项目内容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F6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F3B9B1">
            <w:pPr>
              <w:pStyle w:val="8"/>
              <w:bidi w:val="0"/>
              <w:jc w:val="center"/>
              <w:rPr>
                <w:rFonts w:hint="eastAsia"/>
              </w:rPr>
            </w:pPr>
            <w:r>
              <w:rPr>
                <w:rFonts w:hint="eastAsia"/>
              </w:rPr>
              <w:t>采购标的</w:t>
            </w:r>
          </w:p>
        </w:tc>
        <w:tc>
          <w:tcPr>
            <w:tcW w:w="4261" w:type="dxa"/>
          </w:tcPr>
          <w:p w14:paraId="1E41C641">
            <w:pPr>
              <w:pStyle w:val="8"/>
              <w:bidi w:val="0"/>
              <w:jc w:val="center"/>
              <w:rPr>
                <w:rFonts w:hint="default"/>
                <w:lang w:val="en-US" w:eastAsia="zh-CN"/>
              </w:rPr>
            </w:pPr>
            <w:r>
              <w:rPr>
                <w:rFonts w:hint="eastAsia"/>
                <w:lang w:val="en-US" w:eastAsia="zh-CN"/>
              </w:rPr>
              <w:t>最高限价（元）</w:t>
            </w:r>
          </w:p>
        </w:tc>
      </w:tr>
      <w:tr w14:paraId="6014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B3BF4E">
            <w:pPr>
              <w:pStyle w:val="8"/>
              <w:bidi w:val="0"/>
              <w:jc w:val="center"/>
              <w:rPr>
                <w:rFonts w:hint="default"/>
                <w:lang w:val="en-US"/>
              </w:rPr>
            </w:pPr>
            <w:r>
              <w:rPr>
                <w:rFonts w:hint="eastAsia"/>
                <w:lang w:val="en-US" w:eastAsia="zh-CN"/>
              </w:rPr>
              <w:t>医院车辆出入道闸系统采购项目</w:t>
            </w:r>
          </w:p>
        </w:tc>
        <w:tc>
          <w:tcPr>
            <w:tcW w:w="4261" w:type="dxa"/>
          </w:tcPr>
          <w:p w14:paraId="062C0F03">
            <w:pPr>
              <w:pStyle w:val="8"/>
              <w:bidi w:val="0"/>
              <w:jc w:val="center"/>
              <w:rPr>
                <w:rFonts w:hint="default" w:eastAsiaTheme="minorEastAsia"/>
                <w:lang w:val="en-US" w:eastAsia="zh-CN"/>
              </w:rPr>
            </w:pPr>
            <w:r>
              <w:rPr>
                <w:rFonts w:hint="eastAsia"/>
                <w:lang w:val="en-US" w:eastAsia="zh-CN"/>
              </w:rPr>
              <w:t>40000</w:t>
            </w:r>
          </w:p>
        </w:tc>
      </w:tr>
    </w:tbl>
    <w:p w14:paraId="39AE6F46">
      <w:pPr>
        <w:pStyle w:val="8"/>
        <w:bidi w:val="0"/>
        <w:rPr>
          <w:rFonts w:hint="eastAsia"/>
          <w:lang w:val="en-US" w:eastAsia="zh-CN"/>
        </w:rPr>
      </w:pPr>
      <w:r>
        <w:rPr>
          <w:rFonts w:hint="eastAsia"/>
          <w:lang w:val="en-US" w:eastAsia="zh-CN"/>
        </w:rPr>
        <w:t>最高限价：人民币40000元。</w:t>
      </w:r>
    </w:p>
    <w:p w14:paraId="308FD924">
      <w:pPr>
        <w:pStyle w:val="8"/>
        <w:bidi w:val="0"/>
        <w:rPr>
          <w:rFonts w:hint="eastAsia"/>
          <w:lang w:val="en-US" w:eastAsia="zh-CN"/>
        </w:rPr>
      </w:pPr>
      <w:r>
        <w:rPr>
          <w:rFonts w:hint="eastAsia"/>
          <w:lang w:val="en-US" w:eastAsia="zh-CN"/>
        </w:rPr>
        <w:t>响应人必须对本项目全部采购内容进行响应，如有缺漏，将导致响应无效。如响应报价超出最高限价，将导致响应无效。</w:t>
      </w:r>
    </w:p>
    <w:p w14:paraId="688B0C65">
      <w:pPr>
        <w:pStyle w:val="8"/>
        <w:bidi w:val="0"/>
        <w:rPr>
          <w:rFonts w:hint="eastAsia"/>
        </w:rPr>
      </w:pPr>
      <w:r>
        <w:rPr>
          <w:rFonts w:hint="eastAsia"/>
          <w:lang w:val="en-US" w:eastAsia="zh-CN"/>
        </w:rPr>
        <w:t>成交商确定方式：确定满足采购人需求且报价最低的供应商为成交供应商</w:t>
      </w:r>
      <w:r>
        <w:rPr>
          <w:rFonts w:hint="eastAsia"/>
        </w:rPr>
        <w:t>。</w:t>
      </w:r>
    </w:p>
    <w:p w14:paraId="44E1A238">
      <w:pPr>
        <w:pStyle w:val="5"/>
        <w:widowControl w:val="0"/>
        <w:numPr>
          <w:ilvl w:val="0"/>
          <w:numId w:val="0"/>
        </w:numPr>
        <w:jc w:val="both"/>
        <w:rPr>
          <w:rFonts w:hint="eastAsia"/>
          <w:b w:val="0"/>
          <w:bCs w:val="0"/>
          <w:sz w:val="24"/>
          <w:lang w:val="en-US" w:eastAsia="zh-CN"/>
        </w:rPr>
      </w:pPr>
    </w:p>
    <w:p w14:paraId="6492EA2A">
      <w:pPr>
        <w:pStyle w:val="8"/>
        <w:bidi w:val="0"/>
        <w:rPr>
          <w:rFonts w:hint="eastAsia"/>
          <w:b/>
          <w:bCs/>
          <w:lang w:val="en-US" w:eastAsia="zh-CN"/>
        </w:rPr>
      </w:pPr>
      <w:r>
        <w:rPr>
          <w:rFonts w:hint="eastAsia"/>
          <w:b/>
          <w:bCs/>
          <w:lang w:val="en-US" w:eastAsia="zh-CN"/>
        </w:rPr>
        <w:t>项目背景</w:t>
      </w:r>
    </w:p>
    <w:p w14:paraId="695116A4">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南方医科大学中西医结合医院，为加强院区车辆出入管理，规范交通秩序，需对医院现有停车管理系统及设备提升改造，实现南大门进（二进）、停车场出（三出）分区管理。</w:t>
      </w:r>
    </w:p>
    <w:p w14:paraId="265F8973">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建设目标</w:t>
      </w:r>
    </w:p>
    <w:p w14:paraId="33DBEA63">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color w:val="FF0000"/>
          <w:sz w:val="24"/>
          <w:lang w:val="en-US" w:eastAsia="zh-CN"/>
        </w:rPr>
      </w:pPr>
      <w:r>
        <w:rPr>
          <w:rFonts w:hint="eastAsia" w:ascii="宋体" w:hAnsi="宋体" w:eastAsia="宋体" w:cs="宋体"/>
          <w:b w:val="0"/>
          <w:bCs/>
          <w:color w:val="000000"/>
          <w:sz w:val="24"/>
          <w:lang w:val="en-US" w:eastAsia="zh-CN"/>
        </w:rPr>
        <w:t>通过</w:t>
      </w:r>
      <w:r>
        <w:rPr>
          <w:rFonts w:hint="eastAsia" w:ascii="宋体" w:hAnsi="宋体" w:cs="宋体"/>
          <w:b w:val="0"/>
          <w:bCs/>
          <w:color w:val="auto"/>
          <w:sz w:val="24"/>
          <w:highlight w:val="none"/>
          <w:lang w:val="en-US" w:eastAsia="zh-CN"/>
        </w:rPr>
        <w:t>改造医院</w:t>
      </w:r>
      <w:r>
        <w:rPr>
          <w:rFonts w:hint="eastAsia" w:ascii="宋体" w:hAnsi="宋体" w:eastAsia="宋体" w:cs="宋体"/>
          <w:b w:val="0"/>
          <w:bCs/>
          <w:color w:val="auto"/>
          <w:sz w:val="24"/>
          <w:highlight w:val="none"/>
          <w:lang w:val="en-US" w:eastAsia="zh-CN"/>
        </w:rPr>
        <w:t>停车场管理系统</w:t>
      </w:r>
      <w:r>
        <w:rPr>
          <w:rFonts w:hint="eastAsia" w:ascii="宋体" w:hAnsi="宋体" w:cs="宋体"/>
          <w:b w:val="0"/>
          <w:bCs/>
          <w:color w:val="auto"/>
          <w:sz w:val="24"/>
          <w:highlight w:val="none"/>
          <w:lang w:val="en-US" w:eastAsia="zh-CN"/>
        </w:rPr>
        <w:t>，实现车辆进出分流，有效解决高峰期车辆在同一位置进出产生拥堵情况。利用</w:t>
      </w:r>
      <w:r>
        <w:rPr>
          <w:rFonts w:hint="eastAsia" w:ascii="宋体" w:hAnsi="宋体" w:eastAsia="宋体" w:cs="宋体"/>
          <w:b w:val="0"/>
          <w:bCs/>
          <w:color w:val="000000"/>
          <w:sz w:val="24"/>
          <w:lang w:val="en-US" w:eastAsia="zh-CN"/>
        </w:rPr>
        <w:t>机械、电子计算机和自控设备以及视频识别技术有机的结合起来，实现车辆出入管理、自动存储数据等功能提高工作效率。</w:t>
      </w:r>
    </w:p>
    <w:p w14:paraId="4B56141A">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sz w:val="24"/>
          <w:lang w:val="en-US" w:eastAsia="zh-CN"/>
        </w:rPr>
      </w:pPr>
      <w:r>
        <w:rPr>
          <w:rFonts w:hint="eastAsia" w:ascii="宋体" w:hAnsi="宋体" w:cs="宋体"/>
          <w:b/>
          <w:sz w:val="24"/>
          <w:lang w:val="en-US" w:eastAsia="zh-CN"/>
        </w:rPr>
        <w:t>2、</w:t>
      </w:r>
      <w:r>
        <w:rPr>
          <w:rFonts w:hint="eastAsia" w:ascii="宋体" w:hAnsi="宋体" w:eastAsia="宋体" w:cs="宋体"/>
          <w:b/>
          <w:sz w:val="24"/>
          <w:lang w:val="en-US" w:eastAsia="zh-CN"/>
        </w:rPr>
        <w:t>采购内容</w:t>
      </w:r>
    </w:p>
    <w:p w14:paraId="1D086581">
      <w:pPr>
        <w:spacing w:line="360" w:lineRule="auto"/>
        <w:ind w:firstLine="420"/>
        <w:rPr>
          <w:rFonts w:hint="eastAsia" w:ascii="宋体" w:hAnsi="宋体" w:eastAsia="宋体" w:cs="宋体"/>
          <w:sz w:val="24"/>
          <w:lang w:val="en-US" w:eastAsia="zh-CN"/>
        </w:rPr>
      </w:pPr>
      <w:r>
        <w:rPr>
          <w:rFonts w:hint="eastAsia" w:ascii="宋体" w:hAnsi="宋体" w:eastAsia="宋体" w:cs="宋体"/>
          <w:sz w:val="24"/>
          <w:lang w:val="en-US" w:eastAsia="zh-CN"/>
        </w:rPr>
        <w:t>本项目采购内容为</w:t>
      </w:r>
      <w:r>
        <w:rPr>
          <w:rFonts w:hint="eastAsia" w:ascii="宋体" w:hAnsi="宋体" w:cs="宋体"/>
          <w:sz w:val="24"/>
          <w:lang w:val="en-US" w:eastAsia="zh-CN"/>
        </w:rPr>
        <w:t>南方医科大学中西医结合医院停车场系统及设备</w:t>
      </w:r>
      <w:r>
        <w:rPr>
          <w:rFonts w:hint="eastAsia" w:ascii="宋体" w:hAnsi="宋体" w:eastAsia="宋体" w:cs="宋体"/>
          <w:sz w:val="24"/>
          <w:lang w:val="en-US" w:eastAsia="zh-CN"/>
        </w:rPr>
        <w:t>升级改造的采购、运输、 安装、调试、培训和相关维护等。供应商响应报价包括设备费、材料费、安装调试费、培训、税收、售后服务、采购需求中未提到但在实际采购和安装过程中需要配置的各种设备、材料及其他费用等须由响应人承担的所有费用。</w:t>
      </w:r>
    </w:p>
    <w:p w14:paraId="10F4FB22">
      <w:pPr>
        <w:ind w:firstLine="420" w:firstLineChars="0"/>
        <w:jc w:val="center"/>
        <w:rPr>
          <w:rFonts w:hint="eastAsia" w:ascii="宋体" w:hAnsi="宋体" w:cs="宋体"/>
          <w:b/>
          <w:bCs/>
          <w:sz w:val="24"/>
          <w:lang w:val="en-US" w:eastAsia="zh-CN"/>
        </w:rPr>
      </w:pPr>
      <w:r>
        <w:rPr>
          <w:rFonts w:hint="eastAsia" w:ascii="宋体" w:hAnsi="宋体" w:eastAsia="宋体" w:cs="宋体"/>
          <w:b/>
          <w:bCs/>
          <w:sz w:val="24"/>
          <w:lang w:val="en-US" w:eastAsia="zh-CN"/>
        </w:rPr>
        <w:t>表2.1 设备采购需求及参数清单：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79"/>
        <w:gridCol w:w="1972"/>
        <w:gridCol w:w="4331"/>
        <w:gridCol w:w="873"/>
        <w:gridCol w:w="864"/>
      </w:tblGrid>
      <w:tr w14:paraId="5FEB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9" w:hRule="atLeast"/>
        </w:trPr>
        <w:tc>
          <w:tcPr>
            <w:tcW w:w="281" w:type="pct"/>
            <w:shd w:val="clear" w:color="auto" w:fill="FFFFFF"/>
            <w:noWrap w:val="0"/>
            <w:vAlign w:val="center"/>
          </w:tcPr>
          <w:p w14:paraId="47324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57" w:type="pct"/>
            <w:shd w:val="clear" w:color="auto" w:fill="FFFFFF"/>
            <w:noWrap w:val="0"/>
            <w:vAlign w:val="center"/>
          </w:tcPr>
          <w:p w14:paraId="3AF25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541" w:type="pct"/>
            <w:shd w:val="clear" w:color="auto" w:fill="FFFFFF"/>
            <w:noWrap w:val="0"/>
            <w:vAlign w:val="center"/>
          </w:tcPr>
          <w:p w14:paraId="20B6D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512" w:type="pct"/>
            <w:shd w:val="clear" w:color="auto" w:fill="FFFFFF"/>
            <w:noWrap w:val="0"/>
            <w:vAlign w:val="center"/>
          </w:tcPr>
          <w:p w14:paraId="21AD3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07" w:type="pct"/>
            <w:shd w:val="clear" w:color="auto" w:fill="FFFFFF"/>
            <w:noWrap w:val="0"/>
            <w:vAlign w:val="center"/>
          </w:tcPr>
          <w:p w14:paraId="60028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1FEF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68D4D178">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157" w:type="pct"/>
            <w:shd w:val="clear" w:color="auto" w:fill="FFFFFF"/>
            <w:noWrap w:val="0"/>
            <w:vAlign w:val="center"/>
          </w:tcPr>
          <w:p w14:paraId="31D5EA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电动道闸机</w:t>
            </w:r>
          </w:p>
        </w:tc>
        <w:tc>
          <w:tcPr>
            <w:tcW w:w="2541" w:type="pct"/>
            <w:shd w:val="clear" w:color="auto" w:fill="FFFFFF"/>
            <w:noWrap w:val="0"/>
            <w:vAlign w:val="center"/>
          </w:tcPr>
          <w:p w14:paraId="6C15A3F6">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w:t>
            </w:r>
            <w:r>
              <w:rPr>
                <w:rFonts w:hint="eastAsia" w:ascii="宋体" w:hAnsi="宋体" w:cs="宋体"/>
                <w:b w:val="0"/>
                <w:bCs w:val="0"/>
                <w:i w:val="0"/>
                <w:iCs w:val="0"/>
                <w:color w:val="000000"/>
                <w:kern w:val="0"/>
                <w:sz w:val="18"/>
                <w:szCs w:val="18"/>
                <w:highlight w:val="none"/>
                <w:u w:val="none"/>
                <w:lang w:val="en-US" w:eastAsia="zh-CN" w:bidi="ar"/>
              </w:rPr>
              <w:t>支持</w:t>
            </w:r>
            <w:r>
              <w:rPr>
                <w:rFonts w:hint="eastAsia" w:ascii="宋体" w:hAnsi="宋体" w:eastAsia="宋体" w:cs="宋体"/>
                <w:b w:val="0"/>
                <w:bCs w:val="0"/>
                <w:i w:val="0"/>
                <w:iCs w:val="0"/>
                <w:color w:val="000000"/>
                <w:kern w:val="0"/>
                <w:sz w:val="18"/>
                <w:szCs w:val="18"/>
                <w:highlight w:val="none"/>
                <w:u w:val="none"/>
                <w:lang w:val="en-US" w:eastAsia="zh-CN" w:bidi="ar"/>
              </w:rPr>
              <w:t>3米</w:t>
            </w:r>
            <w:r>
              <w:rPr>
                <w:rFonts w:hint="eastAsia" w:ascii="宋体" w:hAnsi="宋体" w:cs="宋体"/>
                <w:b w:val="0"/>
                <w:bCs w:val="0"/>
                <w:i w:val="0"/>
                <w:iCs w:val="0"/>
                <w:color w:val="000000"/>
                <w:kern w:val="0"/>
                <w:sz w:val="18"/>
                <w:szCs w:val="18"/>
                <w:highlight w:val="none"/>
                <w:u w:val="none"/>
                <w:lang w:val="en-US" w:eastAsia="zh-CN" w:bidi="ar"/>
              </w:rPr>
              <w:t>以上</w:t>
            </w:r>
            <w:r>
              <w:rPr>
                <w:rFonts w:hint="eastAsia" w:ascii="宋体" w:hAnsi="宋体" w:eastAsia="宋体" w:cs="宋体"/>
                <w:b w:val="0"/>
                <w:bCs w:val="0"/>
                <w:i w:val="0"/>
                <w:iCs w:val="0"/>
                <w:color w:val="000000"/>
                <w:kern w:val="0"/>
                <w:sz w:val="18"/>
                <w:szCs w:val="18"/>
                <w:highlight w:val="none"/>
                <w:u w:val="none"/>
                <w:lang w:val="en-US" w:eastAsia="zh-CN" w:bidi="ar"/>
              </w:rPr>
              <w:t>直杆，最快抬杆、落杆速度为</w:t>
            </w:r>
            <w:r>
              <w:rPr>
                <w:rFonts w:hint="eastAsia" w:ascii="宋体" w:hAnsi="宋体" w:cs="宋体"/>
                <w:b w:val="0"/>
                <w:bCs w:val="0"/>
                <w:i w:val="0"/>
                <w:iCs w:val="0"/>
                <w:color w:val="000000"/>
                <w:kern w:val="0"/>
                <w:sz w:val="18"/>
                <w:szCs w:val="18"/>
                <w:highlight w:val="none"/>
                <w:u w:val="none"/>
                <w:lang w:val="en-US" w:eastAsia="zh-CN" w:bidi="ar"/>
              </w:rPr>
              <w:t>3</w:t>
            </w:r>
            <w:r>
              <w:rPr>
                <w:rFonts w:hint="eastAsia" w:ascii="宋体" w:hAnsi="宋体" w:eastAsia="宋体" w:cs="宋体"/>
                <w:b w:val="0"/>
                <w:bCs w:val="0"/>
                <w:i w:val="0"/>
                <w:iCs w:val="0"/>
                <w:color w:val="000000"/>
                <w:kern w:val="0"/>
                <w:sz w:val="18"/>
                <w:szCs w:val="18"/>
                <w:highlight w:val="none"/>
                <w:u w:val="none"/>
                <w:lang w:val="en-US" w:eastAsia="zh-CN" w:bidi="ar"/>
              </w:rPr>
              <w:t>秒。 闸杆类型：铝合金</w:t>
            </w:r>
          </w:p>
          <w:p w14:paraId="0309B1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2、外壳防护等级：室外IP54、室内IP52。挡车器遥控距离大于30米。                                                                                               </w:t>
            </w:r>
          </w:p>
          <w:p w14:paraId="0237B4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3、挡车器具有运行日志，可判断挡车器运行情况。挡车器具有过热保护、以及防抬杆报警功能。  </w:t>
            </w:r>
          </w:p>
          <w:p w14:paraId="2C36A4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4、挡车器具有微波车检、地感车检、红外车检、防砸车功能、遇阻反弹功能。                                                                                                                                                                            </w:t>
            </w:r>
          </w:p>
          <w:p w14:paraId="7C7D95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5、未按规定流程识别车辆标识，或车辆标识识别失败的情况下，能手动开始挡车器；系统能自动记录该行为的发生时间，通道编号，操作员等信息。 </w:t>
            </w:r>
          </w:p>
          <w:p w14:paraId="2ACAB02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b w:val="0"/>
                <w:bCs w:val="0"/>
                <w:i w:val="0"/>
                <w:iCs w:val="0"/>
                <w:color w:val="000000"/>
                <w:kern w:val="0"/>
                <w:sz w:val="18"/>
                <w:szCs w:val="18"/>
                <w:highlight w:val="none"/>
                <w:u w:val="none"/>
                <w:lang w:val="en-US" w:eastAsia="zh-CN" w:bidi="ar"/>
              </w:rPr>
              <w:t>6</w:t>
            </w:r>
            <w:r>
              <w:rPr>
                <w:rFonts w:hint="eastAsia" w:ascii="宋体" w:hAnsi="宋体" w:eastAsia="宋体" w:cs="宋体"/>
                <w:b w:val="0"/>
                <w:bCs w:val="0"/>
                <w:i w:val="0"/>
                <w:iCs w:val="0"/>
                <w:color w:val="000000"/>
                <w:kern w:val="0"/>
                <w:sz w:val="18"/>
                <w:szCs w:val="18"/>
                <w:highlight w:val="none"/>
                <w:u w:val="none"/>
                <w:lang w:val="en-US" w:eastAsia="zh-CN" w:bidi="ar"/>
              </w:rPr>
              <w:t>、温度达到设定数值时，降温风扇自动开启。低于设定数值时，预热自动开启。</w:t>
            </w:r>
          </w:p>
        </w:tc>
        <w:tc>
          <w:tcPr>
            <w:tcW w:w="512" w:type="pct"/>
            <w:shd w:val="clear" w:color="auto" w:fill="FFFFFF"/>
            <w:noWrap w:val="0"/>
            <w:vAlign w:val="center"/>
          </w:tcPr>
          <w:p w14:paraId="734147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507" w:type="pct"/>
            <w:shd w:val="clear" w:color="auto" w:fill="FFFFFF"/>
            <w:noWrap w:val="0"/>
            <w:vAlign w:val="center"/>
          </w:tcPr>
          <w:p w14:paraId="487397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w:t>
            </w:r>
          </w:p>
        </w:tc>
      </w:tr>
      <w:tr w14:paraId="4B0B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45242822">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157" w:type="pct"/>
            <w:shd w:val="clear" w:color="auto" w:fill="FFFFFF"/>
            <w:noWrap w:val="0"/>
            <w:vAlign w:val="center"/>
          </w:tcPr>
          <w:p w14:paraId="499919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车辆检测器</w:t>
            </w:r>
          </w:p>
        </w:tc>
        <w:tc>
          <w:tcPr>
            <w:tcW w:w="2541" w:type="pct"/>
            <w:shd w:val="clear" w:color="auto" w:fill="FFFFFF"/>
            <w:noWrap w:val="0"/>
            <w:vAlign w:val="center"/>
          </w:tcPr>
          <w:p w14:paraId="35D3677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防砸车检测、落杆检测。</w:t>
            </w:r>
            <w:r>
              <w:rPr>
                <w:rFonts w:hint="eastAsia" w:ascii="宋体" w:hAnsi="宋体" w:cs="宋体"/>
                <w:i w:val="0"/>
                <w:iCs w:val="0"/>
                <w:color w:val="000000"/>
                <w:kern w:val="0"/>
                <w:sz w:val="18"/>
                <w:szCs w:val="18"/>
                <w:u w:val="none"/>
                <w:lang w:val="en-US" w:eastAsia="zh-CN" w:bidi="ar"/>
              </w:rPr>
              <w:t>灵敏度</w:t>
            </w:r>
            <w:r>
              <w:rPr>
                <w:rFonts w:hint="eastAsia" w:ascii="宋体" w:hAnsi="宋体" w:eastAsia="宋体" w:cs="宋体"/>
                <w:i w:val="0"/>
                <w:iCs w:val="0"/>
                <w:color w:val="000000"/>
                <w:kern w:val="0"/>
                <w:sz w:val="18"/>
                <w:szCs w:val="18"/>
                <w:u w:val="none"/>
                <w:lang w:val="en-US" w:eastAsia="zh-CN" w:bidi="ar"/>
              </w:rPr>
              <w:t>可根据现场条件选择。</w:t>
            </w:r>
          </w:p>
        </w:tc>
        <w:tc>
          <w:tcPr>
            <w:tcW w:w="512" w:type="pct"/>
            <w:shd w:val="clear" w:color="auto" w:fill="FFFFFF"/>
            <w:noWrap w:val="0"/>
            <w:vAlign w:val="center"/>
          </w:tcPr>
          <w:p w14:paraId="48D6EB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507" w:type="pct"/>
            <w:shd w:val="clear" w:color="auto" w:fill="FFFFFF"/>
            <w:noWrap w:val="0"/>
            <w:vAlign w:val="center"/>
          </w:tcPr>
          <w:p w14:paraId="393B8D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w:t>
            </w:r>
          </w:p>
        </w:tc>
      </w:tr>
      <w:tr w14:paraId="0C31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56F39320">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157" w:type="pct"/>
            <w:shd w:val="clear" w:color="auto" w:fill="FFFFFF"/>
            <w:noWrap w:val="0"/>
            <w:vAlign w:val="center"/>
          </w:tcPr>
          <w:p w14:paraId="4CD25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车牌识别一体机</w:t>
            </w:r>
          </w:p>
        </w:tc>
        <w:tc>
          <w:tcPr>
            <w:tcW w:w="2541" w:type="pct"/>
            <w:shd w:val="clear" w:color="auto" w:fill="FFFFFF"/>
            <w:noWrap w:val="0"/>
            <w:vAlign w:val="center"/>
          </w:tcPr>
          <w:p w14:paraId="4606627E"/>
          <w:p w14:paraId="13DB00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1、具备运动目标检测功能，具备视频触发及地感信号触发抓拍功能，具备视频同步闪光灯功能及车牌焦点曝光功能。</w:t>
            </w:r>
          </w:p>
          <w:p w14:paraId="4626D1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2、车牌识别率大于99%。具备车型识别、车型识别、车颜色识别功能。</w:t>
            </w:r>
          </w:p>
          <w:p w14:paraId="2ED6B9B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3、具备黑白名单控制道闸开启功能。</w:t>
            </w:r>
            <w:r>
              <w:rPr>
                <w:rFonts w:hint="eastAsia" w:ascii="宋体" w:hAnsi="宋体" w:eastAsia="宋体" w:cs="宋体"/>
                <w:i w:val="0"/>
                <w:iCs w:val="0"/>
                <w:color w:val="0000FF"/>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4、彩色水平分辨率≥220TVL、彩色灰度等级≥7级。</w:t>
            </w:r>
            <w:r>
              <w:rPr>
                <w:rFonts w:hint="eastAsia" w:ascii="宋体" w:hAnsi="宋体" w:eastAsia="宋体" w:cs="宋体"/>
                <w:i w:val="0"/>
                <w:iCs w:val="0"/>
                <w:color w:val="0000FF"/>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5、CMOS传感器尺寸：1/3 inch 。抓拍图片分辨率：200万（1080P，1920*1080；1600*1200）、300万（2048*1536；2304*1296）。视频压缩格式：H.264、MPEG4、MJPEG。                                                                                                               6、码流分辨率：QCIF, CIF, D1, 720P/60fps ,1080P/30fps(最大)。、电子快门：1/30 ～ 1/10000秒。                                                                                                                                                                        7、支持IE浏览。                                                                                                                                      8、镜头前段采用冷腔防雾技术，通过这种技术实现充分实现防水、防雾。                                                       9、</w:t>
            </w:r>
            <w:r>
              <w:rPr>
                <w:rFonts w:hint="eastAsia" w:ascii="宋体" w:hAnsi="宋体" w:eastAsia="宋体" w:cs="宋体"/>
                <w:i w:val="0"/>
                <w:iCs w:val="0"/>
                <w:color w:val="auto"/>
                <w:kern w:val="0"/>
                <w:sz w:val="18"/>
                <w:szCs w:val="18"/>
                <w:u w:val="none"/>
                <w:lang w:val="en-US" w:eastAsia="zh-CN" w:bidi="ar"/>
              </w:rPr>
              <w:t>识别速度≤120ms。</w:t>
            </w:r>
          </w:p>
          <w:p w14:paraId="5A04D4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防尘防水等级符合室外设备IP54 级别要求</w:t>
            </w:r>
          </w:p>
          <w:p w14:paraId="17A839A9">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w:t>
            </w:r>
            <w:r>
              <w:rPr>
                <w:rFonts w:hint="eastAsia" w:ascii="宋体" w:hAnsi="宋体" w:cs="宋体"/>
                <w:i w:val="0"/>
                <w:iCs w:val="0"/>
                <w:color w:val="000000"/>
                <w:kern w:val="0"/>
                <w:sz w:val="18"/>
                <w:szCs w:val="18"/>
                <w:u w:val="none"/>
                <w:lang w:val="en-US" w:eastAsia="zh-CN" w:bidi="ar"/>
              </w:rPr>
              <w:t>单元。</w:t>
            </w:r>
          </w:p>
          <w:p w14:paraId="2C334BC9">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采用18.5寸LCD液晶显示屏，带语音播报功能。                                                   2、通过LCD屏播放视频内容，显示图片信息。                                                     3、实现扫码付功能：当临时车辆出场时，通过LCD液晶屏显示收费二维码，付款人扫描设备上的二维码付款，付款后自动抬杆放行。</w:t>
            </w:r>
          </w:p>
          <w:p w14:paraId="1F0ED5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12" w:type="pct"/>
            <w:shd w:val="clear" w:color="auto" w:fill="FFFFFF"/>
            <w:noWrap w:val="0"/>
            <w:vAlign w:val="center"/>
          </w:tcPr>
          <w:p w14:paraId="0E090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7" w:type="pct"/>
            <w:shd w:val="clear" w:color="auto" w:fill="FFFFFF"/>
            <w:noWrap w:val="0"/>
            <w:vAlign w:val="center"/>
          </w:tcPr>
          <w:p w14:paraId="79B7D0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2267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103E05C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157" w:type="pct"/>
            <w:shd w:val="clear" w:color="auto" w:fill="FFFFFF"/>
            <w:noWrap w:val="0"/>
            <w:vAlign w:val="center"/>
          </w:tcPr>
          <w:p w14:paraId="4F377D2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对讲立柱</w:t>
            </w:r>
          </w:p>
        </w:tc>
        <w:tc>
          <w:tcPr>
            <w:tcW w:w="2541" w:type="pct"/>
            <w:shd w:val="clear" w:color="auto" w:fill="FFFFFF"/>
            <w:noWrap w:val="0"/>
            <w:vAlign w:val="center"/>
          </w:tcPr>
          <w:p w14:paraId="79E49F0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对讲分机兼容现有对讲主机（</w:t>
            </w:r>
            <w:r>
              <w:rPr>
                <w:rFonts w:hint="eastAsia" w:ascii="宋体" w:hAnsi="宋体" w:cs="宋体"/>
                <w:i w:val="0"/>
                <w:iCs w:val="0"/>
                <w:color w:val="000000"/>
                <w:sz w:val="18"/>
                <w:szCs w:val="18"/>
                <w:u w:val="none"/>
                <w:lang w:val="en-US" w:eastAsia="zh-CN"/>
              </w:rPr>
              <w:t>医院现有主机型号：飞宇F30,飞宇F20)</w:t>
            </w:r>
          </w:p>
        </w:tc>
        <w:tc>
          <w:tcPr>
            <w:tcW w:w="512" w:type="pct"/>
            <w:shd w:val="clear" w:color="auto" w:fill="FFFFFF"/>
            <w:noWrap w:val="0"/>
            <w:vAlign w:val="center"/>
          </w:tcPr>
          <w:p w14:paraId="7EF9D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个</w:t>
            </w:r>
          </w:p>
        </w:tc>
        <w:tc>
          <w:tcPr>
            <w:tcW w:w="507" w:type="pct"/>
            <w:shd w:val="clear" w:color="auto" w:fill="FFFFFF"/>
            <w:noWrap w:val="0"/>
            <w:vAlign w:val="center"/>
          </w:tcPr>
          <w:p w14:paraId="3BAF0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r>
      <w:tr w14:paraId="2275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0" w:hRule="atLeast"/>
        </w:trPr>
        <w:tc>
          <w:tcPr>
            <w:tcW w:w="281" w:type="pct"/>
            <w:shd w:val="clear" w:color="auto" w:fill="FFFFFF"/>
            <w:noWrap w:val="0"/>
            <w:vAlign w:val="center"/>
          </w:tcPr>
          <w:p w14:paraId="727145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157" w:type="pct"/>
            <w:shd w:val="clear" w:color="auto" w:fill="FFFFFF"/>
            <w:noWrap w:val="0"/>
            <w:vAlign w:val="center"/>
          </w:tcPr>
          <w:p w14:paraId="735D1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停车系统</w:t>
            </w:r>
            <w:r>
              <w:rPr>
                <w:rFonts w:hint="eastAsia" w:ascii="宋体" w:hAnsi="宋体" w:eastAsia="宋体" w:cs="宋体"/>
                <w:i w:val="0"/>
                <w:iCs w:val="0"/>
                <w:color w:val="000000"/>
                <w:kern w:val="0"/>
                <w:sz w:val="24"/>
                <w:szCs w:val="24"/>
                <w:u w:val="none"/>
                <w:lang w:val="en-US" w:eastAsia="zh-CN" w:bidi="ar"/>
              </w:rPr>
              <w:t>管理软件</w:t>
            </w:r>
          </w:p>
        </w:tc>
        <w:tc>
          <w:tcPr>
            <w:tcW w:w="2541" w:type="pct"/>
            <w:shd w:val="clear" w:color="auto" w:fill="FFFFFF"/>
            <w:noWrap w:val="0"/>
            <w:vAlign w:val="center"/>
          </w:tcPr>
          <w:p w14:paraId="43CB55A8">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须兼容现有停车系统（医院现有停车系统品牌：安居宝），如不能兼容须满足以下要求</w:t>
            </w:r>
          </w:p>
          <w:p w14:paraId="28DBC7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主要功能：</w:t>
            </w:r>
          </w:p>
          <w:p w14:paraId="1B9FE5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出口岗亭显示人工补录：选中后，在出口岗亭，显示“人工补录”按钮，主要是防止某些原因，车出场时没有自动产生记录，而可以由人工补录。</w:t>
            </w:r>
          </w:p>
          <w:p w14:paraId="6E00B3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出口岗亭收费时优惠策略：有些客户需要给特定的车优惠时选中使用；对出口岗亭有效。</w:t>
            </w:r>
          </w:p>
          <w:p w14:paraId="557381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出口岗亭收费时播报声音：出口岗亭收费时可以播报声音。</w:t>
            </w:r>
          </w:p>
          <w:p w14:paraId="4D41AB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出口岗亭固定车也可能像临时车一样收费：固定车由于一些原因（比如说月租车到期）需要收费。</w:t>
            </w:r>
          </w:p>
          <w:p w14:paraId="7B043D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设置通道车牌通行权限：可以设置不同车牌通过不同的通道进出。</w:t>
            </w:r>
          </w:p>
          <w:p w14:paraId="382993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显示中央收费：应该在交费后15分钟内出场：有些客户需要中央收费功能，中央收费：可以先交费再出场，减少在出口岗亭的时间；一般流程是，车主来到中央收费处，报出自己的车牌号，操作员查询这个车牌的入场记录，得到应收金额，车主交钱后，在一定时间（默认15分钟）内出场，不再在出口收费，超出时间，另行按照15分钟后入场收费。</w:t>
            </w:r>
          </w:p>
          <w:p w14:paraId="003FF8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支持设置车辆分组（如一个单位有10辆车，5个车位，前5辆车免费，后来的车出场需要缴费）；该功能可以根据不同的情况设置多辆车的收费顺序。</w:t>
            </w:r>
          </w:p>
          <w:p w14:paraId="097581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支持手机移动支付功能。</w:t>
            </w:r>
          </w:p>
          <w:p w14:paraId="452646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支持储值用户类型：先交钱，每次出场扣钱，余额&lt;=0，不能出场；用户可以将现金存入卡中，每次进场计费，出场结算，当余额低于或等于0元时，则不可出场。</w:t>
            </w:r>
          </w:p>
          <w:p w14:paraId="1BDCD7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在出口岗亭时：有可能不能对某些车收费，要进行免费操作，输入免费原因；在这进行设置；可以在报表中的“备注”列查到输入的免费原因。</w:t>
            </w:r>
          </w:p>
          <w:p w14:paraId="06B2C0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预约车功能：当某些临时车辆需免费进入时，可以预先设置为预约免费车辆</w:t>
            </w:r>
          </w:p>
          <w:p w14:paraId="3A2F36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车位满位后限进临时车：设置完开闸方式，当剩余车位为0时，或手动调整为0时，系统会禁止临时车辆入场。</w:t>
            </w:r>
          </w:p>
          <w:p w14:paraId="599D15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：收费管理：系统应能按照预置的收费标准和收费模式进行计费，并输出相应报表；可打印相关收费信息作为缴费凭证；支持岗亭收费、中央收费、移动终端收费、云收费等收费方式。</w:t>
            </w:r>
          </w:p>
          <w:p w14:paraId="35E6ED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数据管理：系统应能实现对出/入场车辆事件，操作管理事件，出/入口设备工作状态等信息管理，完成系统信息的查询、统计、打印以及数据的备份、恢复等功能。数据可收集到云服务器，并在云服务器进行处理，云服务器可管理停车场端的数据。</w:t>
            </w:r>
          </w:p>
          <w:p w14:paraId="2C8E71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、设备识别到车牌后，可通过地感线圈或视频流二次确认车辆进场。车辆未实际进场则不产生进场记录，不占用场内车位。</w:t>
            </w:r>
          </w:p>
          <w:p w14:paraId="3E48C7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系统应能对操作人员的授权和登入核准进行管理，通过设定操作权限，使不同级别的操作人员对系统有不同的操作权力。</w:t>
            </w:r>
          </w:p>
          <w:p w14:paraId="77ED7C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多车场集中管理：提供多车场集中管理系统，可批量导入导出车辆信息，包含VIP车辆、月租车辆、黑白名单等统一录入管理；多车场运营报表汇总管理；各级岗位权限管理等。</w:t>
            </w:r>
          </w:p>
          <w:p w14:paraId="30A56F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r>
              <w:rPr>
                <w:rFonts w:hint="eastAsia" w:ascii="宋体" w:hAnsi="宋体" w:eastAsia="宋体" w:cs="宋体"/>
                <w:i w:val="0"/>
                <w:iCs w:val="0"/>
                <w:color w:val="000000"/>
                <w:kern w:val="0"/>
                <w:sz w:val="18"/>
                <w:szCs w:val="18"/>
                <w:u w:val="none"/>
                <w:lang w:val="en-US" w:eastAsia="zh-CN" w:bidi="ar"/>
              </w:rPr>
              <w:t>WEB场库管理：通过能上网的设备（如:PC/平板/手机）访问系统，可以实时查看设备状态、收费报表统计等，并可以远程修改、录入功能参数，实现远程管理。</w:t>
            </w:r>
          </w:p>
          <w:p w14:paraId="19C339C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支持管理月卡黑白名单系统；支持逃费追缴功能。</w:t>
            </w:r>
          </w:p>
          <w:p w14:paraId="57E37B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lang w:val="en-US" w:eastAsia="zh-CN" w:bidi="ar"/>
              </w:rPr>
              <w:t>19</w:t>
            </w:r>
            <w:r>
              <w:rPr>
                <w:rFonts w:hint="eastAsia" w:ascii="宋体" w:hAnsi="宋体" w:eastAsia="宋体" w:cs="宋体"/>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支持车主通过绑定车牌，在签约无感支付的停车场出场时根据车牌自动扣款。</w:t>
            </w:r>
          </w:p>
          <w:p w14:paraId="2D3450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lang w:val="en-US" w:eastAsia="zh-CN" w:bidi="ar"/>
              </w:rPr>
              <w:t>20</w:t>
            </w:r>
            <w:r>
              <w:rPr>
                <w:rFonts w:hint="eastAsia" w:ascii="宋体" w:hAnsi="宋体" w:eastAsia="宋体" w:cs="宋体"/>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可实现月租车线上自助申请及自动续费功能，线上申请的月租车需求，在软件后台审核（客户可上传图片）通过后，方可付费。</w:t>
            </w:r>
          </w:p>
          <w:p w14:paraId="267518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2</w:t>
            </w:r>
            <w:r>
              <w:rPr>
                <w:rFonts w:hint="eastAsia" w:ascii="宋体" w:hAnsi="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支持一位多车，超出车位按临停计算。</w:t>
            </w:r>
          </w:p>
          <w:p w14:paraId="5705393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、支持通讯及硬件故障判断，并报警提示。</w:t>
            </w:r>
          </w:p>
          <w:p w14:paraId="6711663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、固定车过期提醒功能：固定车过期提醒功能：支持声、光、软件三重报警功能，使管理人员和车主都能及时了解包期规则。</w:t>
            </w:r>
          </w:p>
          <w:p w14:paraId="7A881B1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24</w:t>
            </w:r>
            <w:r>
              <w:rPr>
                <w:rFonts w:hint="eastAsia" w:ascii="宋体" w:hAnsi="宋体" w:eastAsia="宋体" w:cs="宋体"/>
                <w:i w:val="0"/>
                <w:iCs w:val="0"/>
                <w:color w:val="000000"/>
                <w:kern w:val="0"/>
                <w:sz w:val="18"/>
                <w:szCs w:val="18"/>
                <w:u w:val="none"/>
                <w:lang w:val="en-US" w:eastAsia="zh-CN" w:bidi="ar"/>
              </w:rPr>
              <w:t>、预约车功能：支持按次预约和按时段预约功能;支持在访客平台中登记过的访客车辆进入停车场时自动放行;支持一户多车功能;支持客户端、LCD屏、语音提示“一户多车”:支持一户多车车主查询。</w:t>
            </w:r>
          </w:p>
          <w:p w14:paraId="4A1CDF4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25</w:t>
            </w:r>
            <w:r>
              <w:rPr>
                <w:rFonts w:hint="eastAsia" w:ascii="宋体" w:hAnsi="宋体" w:eastAsia="宋体" w:cs="宋体"/>
                <w:b w:val="0"/>
                <w:bCs w:val="0"/>
                <w:i w:val="0"/>
                <w:iCs w:val="0"/>
                <w:color w:val="000000"/>
                <w:kern w:val="0"/>
                <w:sz w:val="18"/>
                <w:szCs w:val="18"/>
                <w:highlight w:val="none"/>
                <w:u w:val="none"/>
                <w:lang w:val="en-US" w:eastAsia="zh-CN" w:bidi="ar"/>
              </w:rPr>
              <w:t>、远程值守功能：支持展示实时过车数据，可对车道道闸进行开闸、关闸、常开闸等操作，可对停车场车道进行对讲，支持矫正车牌、异常放行和人工匹配等操作。</w:t>
            </w:r>
          </w:p>
          <w:p w14:paraId="27F345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、记录查询功能：支持多种记录查询包括:过车记录、跟车记录、场内车辆记录、充值退款记录、临时车缴费记录、优惠券记录、预约记录、班次记录等。查询结果支持列表和图片两种方式展示。</w:t>
            </w:r>
          </w:p>
          <w:p w14:paraId="337D38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、时钟同步功能：支持通过IE浏览器或客户端软件对设备时间进行同步。</w:t>
            </w:r>
          </w:p>
          <w:p w14:paraId="1A05C164">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r>
              <w:rPr>
                <w:rFonts w:hint="eastAsia" w:ascii="宋体" w:hAnsi="宋体" w:eastAsia="宋体" w:cs="宋体"/>
                <w:i w:val="0"/>
                <w:iCs w:val="0"/>
                <w:color w:val="000000"/>
                <w:kern w:val="0"/>
                <w:sz w:val="18"/>
                <w:szCs w:val="18"/>
                <w:u w:val="none"/>
                <w:lang w:val="en-US" w:eastAsia="zh-CN" w:bidi="ar"/>
              </w:rPr>
              <w:t>、远程维护功能：支持通过IE浏览器或客户端软件进行远程设置、升级、维护。支持从平台发布广告图片到自助设备并可设置图片变化时间间隔。</w:t>
            </w:r>
          </w:p>
          <w:p w14:paraId="16E807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w:t>
            </w:r>
            <w:r>
              <w:rPr>
                <w:rFonts w:hint="eastAsia" w:ascii="宋体" w:hAnsi="宋体" w:eastAsia="宋体" w:cs="宋体"/>
                <w:i w:val="0"/>
                <w:iCs w:val="0"/>
                <w:color w:val="000000"/>
                <w:kern w:val="0"/>
                <w:sz w:val="18"/>
                <w:szCs w:val="18"/>
                <w:u w:val="none"/>
                <w:lang w:val="en-US" w:eastAsia="zh-CN" w:bidi="ar"/>
              </w:rPr>
              <w:t>、数据完整性功能：当设备断电时，设备配置信息及出入口配置等记录不会丢失。</w:t>
            </w:r>
          </w:p>
          <w:p w14:paraId="049A0F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、本地黑名单功能：支持本地存储黑名单，数据可达10000条。</w:t>
            </w:r>
          </w:p>
          <w:p w14:paraId="77B578C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、黑白名单同步和比对功能：联网时，可与后台的黑白名单同步，并进行比对和管控。                                 断网时，可使用本地保存的黑白名单进行比对和管控。</w:t>
            </w:r>
          </w:p>
        </w:tc>
        <w:tc>
          <w:tcPr>
            <w:tcW w:w="512" w:type="pct"/>
            <w:shd w:val="clear" w:color="auto" w:fill="FFFFFF"/>
            <w:noWrap w:val="0"/>
            <w:vAlign w:val="center"/>
          </w:tcPr>
          <w:p w14:paraId="032AC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7" w:type="pct"/>
            <w:shd w:val="clear" w:color="auto" w:fill="FFFFFF"/>
            <w:noWrap w:val="0"/>
            <w:vAlign w:val="center"/>
          </w:tcPr>
          <w:p w14:paraId="75A04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D7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5BE9735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57" w:type="pct"/>
            <w:shd w:val="clear" w:color="auto" w:fill="FFFFFF"/>
            <w:noWrap w:val="0"/>
            <w:vAlign w:val="center"/>
          </w:tcPr>
          <w:p w14:paraId="41E50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541" w:type="pct"/>
            <w:shd w:val="clear" w:color="auto" w:fill="FFFFFF"/>
            <w:noWrap w:val="0"/>
            <w:vAlign w:val="center"/>
          </w:tcPr>
          <w:p w14:paraId="78E64A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1、带有8个</w:t>
            </w:r>
            <w:r>
              <w:rPr>
                <w:rFonts w:hint="eastAsia" w:ascii="宋体" w:hAnsi="宋体" w:cs="宋体"/>
                <w:i w:val="0"/>
                <w:iCs w:val="0"/>
                <w:color w:val="000000"/>
                <w:kern w:val="0"/>
                <w:sz w:val="18"/>
                <w:szCs w:val="18"/>
                <w:u w:val="none"/>
                <w:lang w:val="en-US" w:eastAsia="zh-CN" w:bidi="ar"/>
              </w:rPr>
              <w:t>及以上</w:t>
            </w:r>
            <w:r>
              <w:rPr>
                <w:rFonts w:hint="eastAsia" w:ascii="宋体" w:hAnsi="宋体" w:eastAsia="宋体" w:cs="宋体"/>
                <w:i w:val="0"/>
                <w:iCs w:val="0"/>
                <w:color w:val="000000"/>
                <w:kern w:val="0"/>
                <w:sz w:val="18"/>
                <w:szCs w:val="18"/>
                <w:u w:val="none"/>
                <w:lang w:val="en-US" w:eastAsia="zh-CN" w:bidi="ar"/>
              </w:rPr>
              <w:t>10/100/1000自适应RJ45端口</w:t>
            </w:r>
          </w:p>
          <w:p w14:paraId="35DD64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2、背板带宽：16G，包转发率：12Mpps</w:t>
            </w:r>
          </w:p>
          <w:p w14:paraId="6E7F48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3、MAC地址表大小：2K</w:t>
            </w:r>
          </w:p>
          <w:p w14:paraId="57EC6A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4、所有端口均具备线速转发能力</w:t>
            </w:r>
          </w:p>
          <w:p w14:paraId="1D1B03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5、支持端口自动翻转（Auto MDI/MDIX）功能</w:t>
            </w:r>
          </w:p>
          <w:p w14:paraId="400EE2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6、即插即用，无需配置</w:t>
            </w:r>
          </w:p>
          <w:p w14:paraId="5E69C2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7、宽温支持-40℃～85℃ 工作环境</w:t>
            </w:r>
          </w:p>
          <w:p w14:paraId="4147F129">
            <w:pPr>
              <w:keepNext w:val="0"/>
              <w:keepLines w:val="0"/>
              <w:widowControl/>
              <w:suppressLineNumbers w:val="0"/>
              <w:jc w:val="left"/>
              <w:textAlignment w:val="center"/>
              <w:rPr>
                <w:rFonts w:hint="eastAsia" w:ascii="宋体" w:hAnsi="宋体" w:eastAsia="宋体" w:cs="宋体"/>
                <w:i w:val="0"/>
                <w:iCs w:val="0"/>
                <w:color w:val="0000FF"/>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8、无风扇设计，IP40防护等级</w:t>
            </w:r>
          </w:p>
          <w:p w14:paraId="061DF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9、支持DC9-48V双电源冗余备份输入，提高设备可靠性</w:t>
            </w:r>
          </w:p>
        </w:tc>
        <w:tc>
          <w:tcPr>
            <w:tcW w:w="512" w:type="pct"/>
            <w:shd w:val="clear" w:color="auto" w:fill="FFFFFF"/>
            <w:noWrap w:val="0"/>
            <w:vAlign w:val="center"/>
          </w:tcPr>
          <w:p w14:paraId="47958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7" w:type="pct"/>
            <w:shd w:val="clear" w:color="auto" w:fill="FFFFFF"/>
            <w:noWrap w:val="0"/>
            <w:vAlign w:val="center"/>
          </w:tcPr>
          <w:p w14:paraId="39BC9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14:paraId="2189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4E4EF70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157" w:type="pct"/>
            <w:shd w:val="clear" w:color="auto" w:fill="FFFFFF"/>
            <w:noWrap w:val="0"/>
            <w:vAlign w:val="center"/>
          </w:tcPr>
          <w:p w14:paraId="7C5E6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联网线</w:t>
            </w:r>
          </w:p>
        </w:tc>
        <w:tc>
          <w:tcPr>
            <w:tcW w:w="2541" w:type="pct"/>
            <w:shd w:val="clear" w:color="auto" w:fill="FFFFFF"/>
            <w:noWrap w:val="0"/>
            <w:vAlign w:val="center"/>
          </w:tcPr>
          <w:p w14:paraId="2560B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需使用国标五</w:t>
            </w:r>
            <w:r>
              <w:rPr>
                <w:rFonts w:hint="eastAsia" w:ascii="宋体" w:hAnsi="宋体" w:eastAsia="宋体" w:cs="宋体"/>
                <w:i w:val="0"/>
                <w:iCs w:val="0"/>
                <w:color w:val="000000"/>
                <w:kern w:val="0"/>
                <w:sz w:val="18"/>
                <w:szCs w:val="18"/>
                <w:u w:val="none"/>
                <w:lang w:val="en-US" w:eastAsia="zh-CN" w:bidi="ar"/>
              </w:rPr>
              <w:t>类网线</w:t>
            </w:r>
            <w:r>
              <w:rPr>
                <w:rFonts w:hint="eastAsia" w:ascii="宋体" w:hAnsi="宋体" w:cs="宋体"/>
                <w:i w:val="0"/>
                <w:iCs w:val="0"/>
                <w:color w:val="000000"/>
                <w:kern w:val="0"/>
                <w:sz w:val="18"/>
                <w:szCs w:val="18"/>
                <w:u w:val="none"/>
                <w:lang w:val="en-US" w:eastAsia="zh-CN" w:bidi="ar"/>
              </w:rPr>
              <w:t>以上</w:t>
            </w:r>
          </w:p>
        </w:tc>
        <w:tc>
          <w:tcPr>
            <w:tcW w:w="512" w:type="pct"/>
            <w:shd w:val="clear" w:color="auto" w:fill="FFFFFF"/>
            <w:noWrap/>
            <w:vAlign w:val="center"/>
          </w:tcPr>
          <w:p w14:paraId="227A0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7" w:type="pct"/>
            <w:shd w:val="clear" w:color="auto" w:fill="FFFFFF"/>
            <w:noWrap/>
            <w:vAlign w:val="center"/>
          </w:tcPr>
          <w:p w14:paraId="74E9F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00</w:t>
            </w:r>
          </w:p>
        </w:tc>
      </w:tr>
      <w:tr w14:paraId="70BE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09ECFD3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157" w:type="pct"/>
            <w:shd w:val="clear" w:color="auto" w:fill="FFFFFF"/>
            <w:noWrap w:val="0"/>
            <w:vAlign w:val="center"/>
          </w:tcPr>
          <w:p w14:paraId="34B46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541" w:type="pct"/>
            <w:shd w:val="clear" w:color="auto" w:fill="FFFFFF"/>
            <w:noWrap w:val="0"/>
            <w:vAlign w:val="center"/>
          </w:tcPr>
          <w:p w14:paraId="4FEBE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需使用国标</w:t>
            </w:r>
            <w:r>
              <w:rPr>
                <w:rFonts w:hint="eastAsia" w:ascii="宋体" w:hAnsi="宋体" w:eastAsia="宋体" w:cs="宋体"/>
                <w:i w:val="0"/>
                <w:iCs w:val="0"/>
                <w:color w:val="000000"/>
                <w:kern w:val="0"/>
                <w:sz w:val="18"/>
                <w:szCs w:val="18"/>
                <w:u w:val="none"/>
                <w:lang w:val="en-US" w:eastAsia="zh-CN" w:bidi="ar"/>
              </w:rPr>
              <w:t>RVV3*</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5及以上</w:t>
            </w:r>
          </w:p>
        </w:tc>
        <w:tc>
          <w:tcPr>
            <w:tcW w:w="512" w:type="pct"/>
            <w:shd w:val="clear" w:color="auto" w:fill="FFFFFF"/>
            <w:noWrap/>
            <w:vAlign w:val="center"/>
          </w:tcPr>
          <w:p w14:paraId="2CD17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7" w:type="pct"/>
            <w:shd w:val="clear" w:color="auto" w:fill="FFFFFF"/>
            <w:noWrap/>
            <w:vAlign w:val="center"/>
          </w:tcPr>
          <w:p w14:paraId="60BCA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w:t>
            </w:r>
          </w:p>
        </w:tc>
      </w:tr>
      <w:tr w14:paraId="1F62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56D11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1157" w:type="pct"/>
            <w:shd w:val="clear" w:color="auto" w:fill="FFFFFF"/>
            <w:noWrap w:val="0"/>
            <w:vAlign w:val="center"/>
          </w:tcPr>
          <w:p w14:paraId="455F3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2541" w:type="pct"/>
            <w:shd w:val="clear" w:color="auto" w:fill="FFFFFF"/>
            <w:noWrap w:val="0"/>
            <w:vAlign w:val="center"/>
          </w:tcPr>
          <w:p w14:paraId="6BFBB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规格：PVC25</w:t>
            </w:r>
          </w:p>
        </w:tc>
        <w:tc>
          <w:tcPr>
            <w:tcW w:w="512" w:type="pct"/>
            <w:shd w:val="clear" w:color="auto" w:fill="FFFFFF"/>
            <w:noWrap/>
            <w:vAlign w:val="center"/>
          </w:tcPr>
          <w:p w14:paraId="5DCA8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7" w:type="pct"/>
            <w:shd w:val="clear" w:color="auto" w:fill="FFFFFF"/>
            <w:noWrap/>
            <w:vAlign w:val="center"/>
          </w:tcPr>
          <w:p w14:paraId="76E3B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w:t>
            </w:r>
          </w:p>
        </w:tc>
      </w:tr>
      <w:tr w14:paraId="72F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6F7AC6D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157" w:type="pct"/>
            <w:shd w:val="clear" w:color="auto" w:fill="FFFFFF"/>
            <w:noWrap w:val="0"/>
            <w:vAlign w:val="center"/>
          </w:tcPr>
          <w:p w14:paraId="2A737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2541" w:type="pct"/>
            <w:shd w:val="clear" w:color="auto" w:fill="FFFFFF"/>
            <w:noWrap w:val="0"/>
            <w:vAlign w:val="center"/>
          </w:tcPr>
          <w:p w14:paraId="64C597F7">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color w:val="000000"/>
                <w:sz w:val="18"/>
                <w:szCs w:val="18"/>
              </w:rPr>
              <w:t>材质：钣金烤漆</w:t>
            </w:r>
            <w:r>
              <w:rPr>
                <w:rFonts w:hint="eastAsia" w:ascii="宋体" w:hAnsi="宋体" w:cs="宋体"/>
                <w:color w:val="000000"/>
                <w:sz w:val="18"/>
                <w:szCs w:val="18"/>
                <w:lang w:eastAsia="zh-CN"/>
              </w:rPr>
              <w:t>或不锈钢</w:t>
            </w:r>
            <w:r>
              <w:rPr>
                <w:rFonts w:hint="eastAsia" w:ascii="宋体" w:hAnsi="宋体" w:cs="宋体"/>
                <w:color w:val="000000"/>
                <w:sz w:val="18"/>
                <w:szCs w:val="18"/>
              </w:rPr>
              <w:t>。</w:t>
            </w:r>
            <w:r>
              <w:rPr>
                <w:rFonts w:hint="eastAsia" w:ascii="宋体" w:hAnsi="宋体" w:cs="宋体"/>
                <w:i w:val="0"/>
                <w:iCs w:val="0"/>
                <w:color w:val="000000"/>
                <w:kern w:val="0"/>
                <w:sz w:val="18"/>
                <w:szCs w:val="18"/>
                <w:u w:val="none"/>
                <w:lang w:val="en-US" w:eastAsia="zh-CN" w:bidi="ar"/>
              </w:rPr>
              <w:t>尺寸不少于</w:t>
            </w:r>
            <w:r>
              <w:rPr>
                <w:rFonts w:hint="eastAsia" w:ascii="宋体" w:hAnsi="宋体" w:eastAsia="宋体" w:cs="宋体"/>
                <w:i w:val="0"/>
                <w:iCs w:val="0"/>
                <w:color w:val="000000"/>
                <w:kern w:val="0"/>
                <w:sz w:val="18"/>
                <w:szCs w:val="18"/>
                <w:u w:val="none"/>
                <w:lang w:val="en-US" w:eastAsia="zh-CN" w:bidi="ar"/>
              </w:rPr>
              <w:t>300*400*180</w:t>
            </w:r>
            <w:r>
              <w:rPr>
                <w:rFonts w:hint="eastAsia" w:ascii="宋体" w:hAnsi="宋体" w:cs="宋体"/>
                <w:i w:val="0"/>
                <w:iCs w:val="0"/>
                <w:color w:val="000000"/>
                <w:kern w:val="0"/>
                <w:sz w:val="18"/>
                <w:szCs w:val="18"/>
                <w:u w:val="none"/>
                <w:lang w:val="en-US" w:eastAsia="zh-CN" w:bidi="ar"/>
              </w:rPr>
              <w:t>（mm），内</w:t>
            </w:r>
            <w:r>
              <w:rPr>
                <w:rFonts w:hint="eastAsia" w:ascii="宋体" w:hAnsi="宋体" w:cs="宋体"/>
                <w:color w:val="000000"/>
                <w:sz w:val="18"/>
                <w:szCs w:val="18"/>
              </w:rPr>
              <w:t>含空开、插板</w:t>
            </w:r>
            <w:r>
              <w:rPr>
                <w:rFonts w:hint="eastAsia" w:ascii="宋体" w:hAnsi="宋体" w:cs="宋体"/>
                <w:color w:val="000000"/>
                <w:sz w:val="18"/>
                <w:szCs w:val="18"/>
                <w:lang w:eastAsia="zh-CN"/>
              </w:rPr>
              <w:t>等设备。</w:t>
            </w:r>
          </w:p>
        </w:tc>
        <w:tc>
          <w:tcPr>
            <w:tcW w:w="512" w:type="pct"/>
            <w:shd w:val="clear" w:color="auto" w:fill="FFFFFF"/>
            <w:noWrap/>
            <w:vAlign w:val="center"/>
          </w:tcPr>
          <w:p w14:paraId="61DE0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7" w:type="pct"/>
            <w:shd w:val="clear" w:color="auto" w:fill="FFFFFF"/>
            <w:noWrap/>
            <w:vAlign w:val="center"/>
          </w:tcPr>
          <w:p w14:paraId="0DEF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14:paraId="1E17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6EE19AE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157" w:type="pct"/>
            <w:shd w:val="clear" w:color="auto" w:fill="FFFFFF"/>
            <w:noWrap w:val="0"/>
            <w:vAlign w:val="center"/>
          </w:tcPr>
          <w:p w14:paraId="5ED53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安全岛</w:t>
            </w:r>
          </w:p>
        </w:tc>
        <w:tc>
          <w:tcPr>
            <w:tcW w:w="2541" w:type="pct"/>
            <w:shd w:val="clear" w:color="auto" w:fill="FFFFFF"/>
            <w:noWrap w:val="0"/>
            <w:vAlign w:val="center"/>
          </w:tcPr>
          <w:p w14:paraId="339595FD">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施工要求：</w:t>
            </w:r>
          </w:p>
          <w:p w14:paraId="262015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1、用混凝土浇注，如果在混凝土或很厚的石头地面建安全岛，需制作间隔10公分密度的钢筋网，且钢筋网要深入地面。</w:t>
            </w:r>
          </w:p>
          <w:p w14:paraId="4D9143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木板沿安全岛形状线条围起一个20公分的框架。3、用水泥、石子、沙子比例为1:1:1的混凝土浇注用木板沿围起的安全岛框架，浇注完后找出水平面。至少一个星期后，等待混凝土完全凝固干燥后，用高标号水泥抹平安全岛表面。</w:t>
            </w:r>
          </w:p>
          <w:p w14:paraId="3815B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4、在安全岛侧面刷黄黑30公分相间的路标漆。</w:t>
            </w:r>
          </w:p>
        </w:tc>
        <w:tc>
          <w:tcPr>
            <w:tcW w:w="512" w:type="pct"/>
            <w:shd w:val="clear" w:color="auto" w:fill="FFFFFF"/>
            <w:noWrap/>
            <w:vAlign w:val="center"/>
          </w:tcPr>
          <w:p w14:paraId="4AD11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7" w:type="pct"/>
            <w:shd w:val="clear" w:color="auto" w:fill="FFFFFF"/>
            <w:noWrap/>
            <w:vAlign w:val="center"/>
          </w:tcPr>
          <w:p w14:paraId="4F9F0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CF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0B8D7D3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157" w:type="pct"/>
            <w:shd w:val="clear" w:color="auto" w:fill="FFFFFF"/>
            <w:noWrap w:val="0"/>
            <w:vAlign w:val="center"/>
          </w:tcPr>
          <w:p w14:paraId="2177E56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kern w:val="0"/>
                <w:sz w:val="24"/>
                <w:szCs w:val="24"/>
                <w:u w:val="none"/>
                <w:lang w:val="en-US" w:eastAsia="zh-CN" w:bidi="ar"/>
              </w:rPr>
              <w:t>光纤收发器</w:t>
            </w:r>
          </w:p>
        </w:tc>
        <w:tc>
          <w:tcPr>
            <w:tcW w:w="2541" w:type="pct"/>
            <w:shd w:val="clear" w:color="auto" w:fill="FFFFFF"/>
            <w:noWrap w:val="0"/>
            <w:vAlign w:val="center"/>
          </w:tcPr>
          <w:p w14:paraId="36CFA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SFP单模（10Km，1310nm，LC，DDM））</w:t>
            </w:r>
          </w:p>
        </w:tc>
        <w:tc>
          <w:tcPr>
            <w:tcW w:w="512" w:type="pct"/>
            <w:shd w:val="clear" w:color="auto" w:fill="FFFFFF"/>
            <w:noWrap/>
            <w:vAlign w:val="center"/>
          </w:tcPr>
          <w:p w14:paraId="29872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对</w:t>
            </w:r>
          </w:p>
        </w:tc>
        <w:tc>
          <w:tcPr>
            <w:tcW w:w="507" w:type="pct"/>
            <w:shd w:val="clear" w:color="auto" w:fill="FFFFFF"/>
            <w:noWrap/>
            <w:vAlign w:val="center"/>
          </w:tcPr>
          <w:p w14:paraId="234A4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r>
      <w:tr w14:paraId="7CD4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2660F28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157" w:type="pct"/>
            <w:shd w:val="clear" w:color="auto" w:fill="FFFFFF"/>
            <w:noWrap w:val="0"/>
            <w:vAlign w:val="center"/>
          </w:tcPr>
          <w:p w14:paraId="1F0C6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w:t>
            </w:r>
          </w:p>
        </w:tc>
        <w:tc>
          <w:tcPr>
            <w:tcW w:w="2541" w:type="pct"/>
            <w:shd w:val="clear" w:color="auto" w:fill="FFFFFF"/>
            <w:noWrap w:val="0"/>
            <w:vAlign w:val="center"/>
          </w:tcPr>
          <w:p w14:paraId="12E87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室外4芯单模光纤</w:t>
            </w:r>
          </w:p>
        </w:tc>
        <w:tc>
          <w:tcPr>
            <w:tcW w:w="512" w:type="pct"/>
            <w:shd w:val="clear" w:color="auto" w:fill="FFFFFF"/>
            <w:noWrap/>
            <w:vAlign w:val="center"/>
          </w:tcPr>
          <w:p w14:paraId="16C93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7" w:type="pct"/>
            <w:shd w:val="clear" w:color="auto" w:fill="FFFFFF"/>
            <w:noWrap/>
            <w:vAlign w:val="center"/>
          </w:tcPr>
          <w:p w14:paraId="4604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w:t>
            </w:r>
          </w:p>
        </w:tc>
      </w:tr>
      <w:tr w14:paraId="11CF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74C98005">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157" w:type="pct"/>
            <w:shd w:val="clear" w:color="auto" w:fill="FFFFFF"/>
            <w:noWrap w:val="0"/>
            <w:vAlign w:val="center"/>
          </w:tcPr>
          <w:p w14:paraId="7D9B89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地感线圈</w:t>
            </w:r>
          </w:p>
        </w:tc>
        <w:tc>
          <w:tcPr>
            <w:tcW w:w="2541" w:type="pct"/>
            <w:shd w:val="clear" w:color="auto" w:fill="FFFFFF"/>
            <w:noWrap w:val="0"/>
            <w:vAlign w:val="center"/>
          </w:tcPr>
          <w:p w14:paraId="14545FA6">
            <w:pPr>
              <w:keepNext w:val="0"/>
              <w:keepLines w:val="0"/>
              <w:widowControl/>
              <w:numPr>
                <w:ilvl w:val="0"/>
                <w:numId w:val="4"/>
              </w:numPr>
              <w:suppressLineNumbers w:val="0"/>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地感线：</w:t>
            </w:r>
            <w:r>
              <w:rPr>
                <w:rFonts w:hint="eastAsia" w:ascii="宋体" w:hAnsi="宋体" w:cs="宋体"/>
                <w:color w:val="000000"/>
                <w:sz w:val="18"/>
                <w:szCs w:val="18"/>
              </w:rPr>
              <w:t>绝缘体：FEP</w:t>
            </w:r>
            <w:r>
              <w:rPr>
                <w:rFonts w:hint="eastAsia" w:ascii="宋体" w:hAnsi="宋体" w:cs="宋体"/>
                <w:color w:val="000000"/>
                <w:sz w:val="18"/>
                <w:szCs w:val="18"/>
                <w:lang w:eastAsia="zh-CN"/>
              </w:rPr>
              <w:t>；</w:t>
            </w:r>
            <w:r>
              <w:rPr>
                <w:rFonts w:hint="eastAsia" w:ascii="宋体" w:hAnsi="宋体" w:cs="宋体"/>
                <w:color w:val="000000"/>
                <w:sz w:val="18"/>
                <w:szCs w:val="18"/>
              </w:rPr>
              <w:t>导体：镀锡铜线</w:t>
            </w:r>
            <w:r>
              <w:rPr>
                <w:rFonts w:hint="eastAsia" w:ascii="宋体" w:hAnsi="宋体" w:cs="宋体"/>
                <w:color w:val="000000"/>
                <w:sz w:val="18"/>
                <w:szCs w:val="18"/>
                <w:lang w:eastAsia="zh-CN"/>
              </w:rPr>
              <w:t>；</w:t>
            </w:r>
            <w:r>
              <w:rPr>
                <w:rFonts w:hint="eastAsia" w:ascii="宋体" w:hAnsi="宋体" w:cs="宋体"/>
                <w:color w:val="000000"/>
                <w:sz w:val="18"/>
                <w:szCs w:val="18"/>
              </w:rPr>
              <w:t>额定温度：-55℃～200℃</w:t>
            </w:r>
            <w:r>
              <w:rPr>
                <w:rFonts w:hint="eastAsia" w:ascii="宋体" w:hAnsi="宋体" w:cs="宋体"/>
                <w:color w:val="000000"/>
                <w:sz w:val="18"/>
                <w:szCs w:val="18"/>
                <w:lang w:eastAsia="zh-CN"/>
              </w:rPr>
              <w:t>；</w:t>
            </w:r>
            <w:r>
              <w:rPr>
                <w:rFonts w:hint="eastAsia" w:ascii="宋体" w:hAnsi="宋体" w:cs="宋体"/>
                <w:color w:val="000000"/>
                <w:sz w:val="18"/>
                <w:szCs w:val="18"/>
              </w:rPr>
              <w:t>性能：耐磨、防腐蚀</w:t>
            </w:r>
          </w:p>
          <w:p w14:paraId="12628746">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埋设深度5-10cm</w:t>
            </w:r>
          </w:p>
          <w:p w14:paraId="0412021B">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rPr>
              <w:t>导轨探测环电感量：50-1000 uH，（推荐100～300 uH）</w:t>
            </w:r>
            <w:r>
              <w:rPr>
                <w:rFonts w:hint="eastAsia" w:ascii="宋体" w:hAnsi="宋体" w:cs="宋体"/>
                <w:color w:val="000000"/>
                <w:sz w:val="18"/>
                <w:szCs w:val="18"/>
                <w:lang w:eastAsia="zh-CN"/>
              </w:rPr>
              <w:t>；</w:t>
            </w:r>
            <w:r>
              <w:rPr>
                <w:rFonts w:hint="eastAsia" w:ascii="宋体" w:hAnsi="宋体" w:cs="宋体"/>
                <w:color w:val="000000"/>
                <w:sz w:val="18"/>
                <w:szCs w:val="18"/>
              </w:rPr>
              <w:t>探测环引线：≤10米，总电阻小于10Ω，每米至少双绞20次尺寸（含底座）</w:t>
            </w:r>
          </w:p>
        </w:tc>
        <w:tc>
          <w:tcPr>
            <w:tcW w:w="512" w:type="pct"/>
            <w:shd w:val="clear" w:color="auto" w:fill="FFFFFF"/>
            <w:noWrap/>
            <w:vAlign w:val="center"/>
          </w:tcPr>
          <w:p w14:paraId="0F45C5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507" w:type="pct"/>
            <w:shd w:val="clear" w:color="auto" w:fill="FFFFFF"/>
            <w:noWrap/>
            <w:vAlign w:val="center"/>
          </w:tcPr>
          <w:p w14:paraId="7C54F05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r>
      <w:tr w14:paraId="3311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0" w:hRule="atLeast"/>
        </w:trPr>
        <w:tc>
          <w:tcPr>
            <w:tcW w:w="281" w:type="pct"/>
            <w:shd w:val="clear" w:color="auto" w:fill="FFFFFF"/>
            <w:noWrap w:val="0"/>
            <w:vAlign w:val="center"/>
          </w:tcPr>
          <w:p w14:paraId="31CCA68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157" w:type="pct"/>
            <w:shd w:val="clear" w:color="auto" w:fill="FFFFFF"/>
            <w:noWrap w:val="0"/>
            <w:vAlign w:val="center"/>
          </w:tcPr>
          <w:p w14:paraId="06F49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场内提前付、出场扫码付管理平台</w:t>
            </w:r>
          </w:p>
        </w:tc>
        <w:tc>
          <w:tcPr>
            <w:tcW w:w="2541" w:type="pct"/>
            <w:shd w:val="clear" w:color="auto" w:fill="FFFFFF"/>
            <w:noWrap w:val="0"/>
            <w:vAlign w:val="center"/>
          </w:tcPr>
          <w:p w14:paraId="20BB4380">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支持车辆场内提前付款功能、支持车辆出场时扫描安全临时动态二维码功能来实现全无人化值守功能。</w:t>
            </w:r>
          </w:p>
          <w:p w14:paraId="487842F6">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需支持</w:t>
            </w:r>
            <w:r>
              <w:rPr>
                <w:rFonts w:hint="eastAsia" w:ascii="宋体" w:hAnsi="宋体" w:eastAsia="宋体" w:cs="宋体"/>
                <w:color w:val="000000"/>
                <w:kern w:val="0"/>
                <w:sz w:val="18"/>
                <w:szCs w:val="18"/>
                <w:u w:val="none"/>
                <w:lang w:bidi="ar"/>
              </w:rPr>
              <w:t>电子优惠券</w:t>
            </w:r>
            <w:r>
              <w:rPr>
                <w:rFonts w:hint="eastAsia" w:ascii="宋体" w:hAnsi="宋体" w:eastAsia="宋体" w:cs="宋体"/>
                <w:color w:val="000000"/>
                <w:kern w:val="0"/>
                <w:sz w:val="18"/>
                <w:szCs w:val="18"/>
                <w:u w:val="none"/>
                <w:lang w:val="en-US" w:eastAsia="zh-CN" w:bidi="ar"/>
              </w:rPr>
              <w:t>功能：</w:t>
            </w:r>
            <w:r>
              <w:rPr>
                <w:rFonts w:hint="eastAsia" w:ascii="宋体" w:hAnsi="宋体" w:eastAsia="宋体" w:cs="宋体"/>
                <w:i w:val="0"/>
                <w:iCs w:val="0"/>
                <w:color w:val="000000"/>
                <w:kern w:val="0"/>
                <w:sz w:val="18"/>
                <w:szCs w:val="18"/>
                <w:u w:val="none"/>
                <w:lang w:val="en-US" w:eastAsia="zh-CN" w:bidi="ar"/>
              </w:rPr>
              <w:t>支持商家平台对所属下面子商户发放电子优惠券包含（金额券、时长券、折扣券、会议全免券等），并支持子商户通过微信小程序向车主发券，以及车主通过小程序进行固定车续费等功能。</w:t>
            </w:r>
          </w:p>
          <w:p w14:paraId="52D1168F">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需支持</w:t>
            </w:r>
            <w:r>
              <w:rPr>
                <w:rFonts w:hint="eastAsia" w:ascii="宋体" w:hAnsi="宋体" w:eastAsia="宋体" w:cs="宋体"/>
                <w:color w:val="000000"/>
                <w:kern w:val="0"/>
                <w:sz w:val="18"/>
                <w:szCs w:val="18"/>
                <w:u w:val="none"/>
                <w:lang w:bidi="ar"/>
              </w:rPr>
              <w:t>云支付对接</w:t>
            </w:r>
            <w:r>
              <w:rPr>
                <w:rFonts w:hint="eastAsia" w:ascii="宋体" w:hAnsi="宋体" w:eastAsia="宋体" w:cs="宋体"/>
                <w:color w:val="000000"/>
                <w:kern w:val="0"/>
                <w:sz w:val="18"/>
                <w:szCs w:val="18"/>
                <w:u w:val="none"/>
                <w:lang w:val="en-US" w:eastAsia="zh-CN" w:bidi="ar"/>
              </w:rPr>
              <w:t>功能：</w:t>
            </w:r>
            <w:r>
              <w:rPr>
                <w:rFonts w:hint="eastAsia" w:ascii="宋体" w:hAnsi="宋体" w:eastAsia="宋体" w:cs="宋体"/>
                <w:i w:val="0"/>
                <w:iCs w:val="0"/>
                <w:color w:val="000000"/>
                <w:kern w:val="0"/>
                <w:sz w:val="18"/>
                <w:szCs w:val="18"/>
                <w:u w:val="none"/>
                <w:lang w:val="en-US" w:eastAsia="zh-CN" w:bidi="ar"/>
              </w:rPr>
              <w:t>服务商绑定特约商户功能，实现创建付款码，微信、支付宝扫码，费用收取，对公账户管理等功能。</w:t>
            </w:r>
          </w:p>
          <w:p w14:paraId="6235C736">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u w:val="none"/>
                <w:lang w:bidi="ar"/>
              </w:rPr>
              <w:t>云平台部署，实现云平台远程管理、年维护、支付及不定期更新最新版功能。</w:t>
            </w:r>
          </w:p>
        </w:tc>
        <w:tc>
          <w:tcPr>
            <w:tcW w:w="512" w:type="pct"/>
            <w:shd w:val="clear" w:color="auto" w:fill="FFFFFF"/>
            <w:noWrap w:val="0"/>
            <w:vAlign w:val="center"/>
          </w:tcPr>
          <w:p w14:paraId="68FE4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7" w:type="pct"/>
            <w:shd w:val="clear" w:color="auto" w:fill="FFFFFF"/>
            <w:noWrap w:val="0"/>
            <w:vAlign w:val="center"/>
          </w:tcPr>
          <w:p w14:paraId="51963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A5F3D48">
      <w:pPr>
        <w:adjustRightInd w:val="0"/>
        <w:snapToGrid w:val="0"/>
        <w:spacing w:line="360" w:lineRule="auto"/>
        <w:rPr>
          <w:rFonts w:hint="eastAsia" w:ascii="宋体" w:hAnsi="宋体" w:eastAsia="宋体" w:cs="宋体"/>
          <w:b/>
          <w:bCs/>
          <w:sz w:val="24"/>
          <w:lang w:val="en-US" w:eastAsia="zh-CN"/>
        </w:rPr>
      </w:pPr>
    </w:p>
    <w:p w14:paraId="77E460A7">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lang w:val="en-US" w:eastAsia="zh-CN"/>
        </w:rPr>
        <w:t>3、</w:t>
      </w:r>
      <w:r>
        <w:rPr>
          <w:rFonts w:hint="eastAsia" w:ascii="宋体" w:hAnsi="宋体" w:eastAsia="宋体" w:cs="宋体"/>
          <w:b/>
          <w:bCs/>
          <w:sz w:val="24"/>
        </w:rPr>
        <w:t>售后</w:t>
      </w:r>
      <w:r>
        <w:rPr>
          <w:rFonts w:hint="eastAsia" w:ascii="宋体" w:hAnsi="宋体" w:eastAsia="宋体" w:cs="宋体"/>
          <w:b/>
          <w:bCs/>
          <w:sz w:val="24"/>
          <w:highlight w:val="none"/>
        </w:rPr>
        <w:t>服务要求：</w:t>
      </w:r>
    </w:p>
    <w:p w14:paraId="1B24FCB8">
      <w:pPr>
        <w:adjustRightInd w:val="0"/>
        <w:snapToGrid w:val="0"/>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技术支持要求：</w:t>
      </w:r>
      <w:r>
        <w:rPr>
          <w:rFonts w:hint="eastAsia" w:ascii="宋体" w:hAnsi="宋体" w:eastAsia="宋体" w:cs="宋体"/>
          <w:bCs/>
          <w:sz w:val="24"/>
          <w:highlight w:val="none"/>
          <w:lang w:val="en-US" w:eastAsia="zh-CN"/>
        </w:rPr>
        <w:t>维护期</w:t>
      </w:r>
      <w:r>
        <w:rPr>
          <w:rFonts w:hint="eastAsia" w:ascii="宋体" w:hAnsi="宋体" w:eastAsia="宋体" w:cs="宋体"/>
          <w:bCs/>
          <w:sz w:val="24"/>
          <w:highlight w:val="none"/>
        </w:rPr>
        <w:t>内出现问题，1小时内响应，4小时内到达现场，24小时内解决问题，以保证用户单位的正常使用。</w:t>
      </w:r>
    </w:p>
    <w:p w14:paraId="77E8CD5C">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工期要求：</w:t>
      </w:r>
    </w:p>
    <w:p w14:paraId="4E604D49">
      <w:pPr>
        <w:adjustRightInd w:val="0"/>
        <w:snapToGrid w:val="0"/>
        <w:spacing w:line="360" w:lineRule="auto"/>
        <w:ind w:firstLine="48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设备安装</w:t>
      </w:r>
      <w:r>
        <w:rPr>
          <w:rFonts w:hint="eastAsia" w:ascii="宋体" w:hAnsi="宋体" w:eastAsia="宋体" w:cs="宋体"/>
          <w:bCs/>
          <w:sz w:val="24"/>
          <w:highlight w:val="none"/>
        </w:rPr>
        <w:t>工期为</w:t>
      </w:r>
      <w:r>
        <w:rPr>
          <w:rFonts w:hint="eastAsia" w:ascii="宋体" w:hAnsi="宋体" w:eastAsia="宋体" w:cs="宋体"/>
          <w:bCs/>
          <w:sz w:val="24"/>
          <w:highlight w:val="none"/>
          <w:lang w:val="en-US" w:eastAsia="zh-CN"/>
        </w:rPr>
        <w:t>20</w:t>
      </w:r>
      <w:r>
        <w:rPr>
          <w:rFonts w:hint="eastAsia" w:ascii="宋体" w:hAnsi="宋体" w:eastAsia="宋体" w:cs="宋体"/>
          <w:bCs/>
          <w:sz w:val="24"/>
          <w:highlight w:val="none"/>
        </w:rPr>
        <w:t>日历天，验收合格之日起维护期为</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年。</w:t>
      </w:r>
    </w:p>
    <w:p w14:paraId="61DBB0CE">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费用支付：</w:t>
      </w:r>
    </w:p>
    <w:p w14:paraId="489AE520">
      <w:pPr>
        <w:adjustRightInd w:val="0"/>
        <w:snapToGrid w:val="0"/>
        <w:spacing w:line="360" w:lineRule="auto"/>
        <w:ind w:firstLine="481"/>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合同生效以及具备实施条件后</w:t>
      </w:r>
      <w:r>
        <w:rPr>
          <w:rFonts w:hint="eastAsia" w:ascii="宋体" w:hAnsi="宋体" w:cs="宋体"/>
          <w:bCs/>
          <w:sz w:val="24"/>
          <w:highlight w:val="none"/>
          <w:lang w:val="en-US" w:eastAsia="zh-CN"/>
        </w:rPr>
        <w:t>10</w:t>
      </w:r>
      <w:r>
        <w:rPr>
          <w:rFonts w:hint="eastAsia" w:ascii="宋体" w:hAnsi="宋体" w:eastAsia="宋体" w:cs="宋体"/>
          <w:bCs/>
          <w:sz w:val="24"/>
          <w:highlight w:val="none"/>
          <w:lang w:val="en-US" w:eastAsia="zh-CN"/>
        </w:rPr>
        <w:t>个工作日内支付合同总价的50%预付款，</w:t>
      </w:r>
      <w:r>
        <w:rPr>
          <w:rFonts w:hint="eastAsia" w:ascii="宋体" w:hAnsi="宋体" w:cs="宋体"/>
          <w:bCs/>
          <w:sz w:val="24"/>
          <w:highlight w:val="none"/>
          <w:lang w:val="en-US" w:eastAsia="zh-CN"/>
        </w:rPr>
        <w:t>设备安装</w:t>
      </w:r>
      <w:r>
        <w:rPr>
          <w:rFonts w:hint="eastAsia" w:ascii="宋体" w:hAnsi="宋体" w:eastAsia="宋体" w:cs="宋体"/>
          <w:bCs/>
          <w:sz w:val="24"/>
          <w:highlight w:val="none"/>
          <w:lang w:val="en-US" w:eastAsia="zh-CN"/>
        </w:rPr>
        <w:t>完成验收合格后采购方在</w:t>
      </w:r>
      <w:r>
        <w:rPr>
          <w:rFonts w:hint="eastAsia" w:ascii="宋体" w:hAnsi="宋体" w:cs="宋体"/>
          <w:bCs/>
          <w:sz w:val="24"/>
          <w:highlight w:val="none"/>
          <w:lang w:val="en-US" w:eastAsia="zh-CN"/>
        </w:rPr>
        <w:t>30</w:t>
      </w:r>
      <w:r>
        <w:rPr>
          <w:rFonts w:hint="eastAsia" w:ascii="宋体" w:hAnsi="宋体" w:eastAsia="宋体" w:cs="宋体"/>
          <w:bCs/>
          <w:sz w:val="24"/>
          <w:highlight w:val="none"/>
          <w:lang w:val="en-US" w:eastAsia="zh-CN"/>
        </w:rPr>
        <w:t>个工作日内</w:t>
      </w:r>
      <w:r>
        <w:rPr>
          <w:rFonts w:hint="eastAsia" w:ascii="宋体" w:hAnsi="宋体" w:cs="宋体"/>
          <w:bCs/>
          <w:sz w:val="24"/>
          <w:highlight w:val="none"/>
          <w:lang w:val="en-US" w:eastAsia="zh-CN"/>
        </w:rPr>
        <w:t>一次性</w:t>
      </w:r>
      <w:r>
        <w:rPr>
          <w:rFonts w:hint="eastAsia" w:ascii="宋体" w:hAnsi="宋体" w:eastAsia="宋体" w:cs="宋体"/>
          <w:bCs/>
          <w:sz w:val="24"/>
          <w:highlight w:val="none"/>
          <w:lang w:val="en-US" w:eastAsia="zh-CN"/>
        </w:rPr>
        <w:t>支付中标方</w:t>
      </w:r>
      <w:r>
        <w:rPr>
          <w:rFonts w:hint="eastAsia" w:ascii="宋体" w:hAnsi="宋体" w:cs="宋体"/>
          <w:bCs/>
          <w:sz w:val="24"/>
          <w:highlight w:val="none"/>
          <w:lang w:val="en-US" w:eastAsia="zh-CN"/>
        </w:rPr>
        <w:t>至</w:t>
      </w:r>
      <w:r>
        <w:rPr>
          <w:rFonts w:hint="eastAsia" w:ascii="宋体" w:hAnsi="宋体" w:eastAsia="宋体" w:cs="宋体"/>
          <w:bCs/>
          <w:sz w:val="24"/>
          <w:highlight w:val="none"/>
          <w:lang w:val="en-US" w:eastAsia="zh-CN"/>
        </w:rPr>
        <w:t>合同总价的</w:t>
      </w:r>
      <w:r>
        <w:rPr>
          <w:rFonts w:hint="eastAsia" w:ascii="宋体" w:hAnsi="宋体" w:cs="宋体"/>
          <w:bCs/>
          <w:sz w:val="24"/>
          <w:highlight w:val="none"/>
          <w:lang w:val="en-US" w:eastAsia="zh-CN"/>
        </w:rPr>
        <w:t>100</w:t>
      </w:r>
      <w:r>
        <w:rPr>
          <w:rFonts w:hint="eastAsia" w:ascii="宋体" w:hAnsi="宋体" w:eastAsia="宋体" w:cs="宋体"/>
          <w:bCs/>
          <w:sz w:val="24"/>
          <w:highlight w:val="none"/>
          <w:lang w:val="en-US" w:eastAsia="zh-CN"/>
        </w:rPr>
        <w:t>%。</w:t>
      </w:r>
    </w:p>
    <w:p w14:paraId="300C9AC9">
      <w:pPr>
        <w:pStyle w:val="5"/>
        <w:widowControl w:val="0"/>
        <w:numPr>
          <w:ilvl w:val="0"/>
          <w:numId w:val="0"/>
        </w:numPr>
        <w:jc w:val="both"/>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w:t>
      </w:r>
      <w:r>
        <w:rPr>
          <w:rFonts w:hint="eastAsia" w:ascii="宋体" w:hAnsi="宋体" w:eastAsia="宋体" w:cs="宋体"/>
          <w:b/>
          <w:bCs/>
          <w:sz w:val="24"/>
        </w:rPr>
        <w:t>安装、调试与验收</w:t>
      </w:r>
    </w:p>
    <w:p w14:paraId="2C0BD1F9">
      <w:pPr>
        <w:pStyle w:val="5"/>
        <w:widowControl w:val="0"/>
        <w:numPr>
          <w:ilvl w:val="0"/>
          <w:numId w:val="0"/>
        </w:numPr>
        <w:jc w:val="both"/>
        <w:rPr>
          <w:rFonts w:hint="eastAsia"/>
          <w:sz w:val="24"/>
        </w:rPr>
      </w:pPr>
      <w:r>
        <w:rPr>
          <w:rFonts w:hint="eastAsia"/>
          <w:sz w:val="24"/>
        </w:rPr>
        <w:t>（</w:t>
      </w:r>
      <w:r>
        <w:rPr>
          <w:rFonts w:hint="eastAsia"/>
          <w:sz w:val="24"/>
          <w:lang w:val="en-US" w:eastAsia="zh-CN"/>
        </w:rPr>
        <w:t>1</w:t>
      </w:r>
      <w:r>
        <w:rPr>
          <w:rFonts w:hint="eastAsia"/>
          <w:sz w:val="24"/>
        </w:rPr>
        <w:t>）货物若有国家标准按照国家标准验收，若无国家标准按行业标准验收，为原制造商制造的全新产品，无污染，无侵权行为、表面无划损、无任何缺陷隐患，在中国境内可依常规安全合法使用。</w:t>
      </w:r>
    </w:p>
    <w:p w14:paraId="5003690D">
      <w:pPr>
        <w:pStyle w:val="5"/>
        <w:widowControl w:val="0"/>
        <w:numPr>
          <w:ilvl w:val="0"/>
          <w:numId w:val="0"/>
        </w:numPr>
        <w:jc w:val="both"/>
        <w:rPr>
          <w:rFonts w:hint="eastAsia"/>
          <w:sz w:val="24"/>
        </w:rPr>
      </w:pPr>
      <w:r>
        <w:rPr>
          <w:rFonts w:hint="eastAsia"/>
          <w:sz w:val="24"/>
        </w:rPr>
        <w:t>（</w:t>
      </w:r>
      <w:r>
        <w:rPr>
          <w:rFonts w:hint="eastAsia"/>
          <w:sz w:val="24"/>
          <w:lang w:val="en-US" w:eastAsia="zh-CN"/>
        </w:rPr>
        <w:t>2</w:t>
      </w:r>
      <w:r>
        <w:rPr>
          <w:rFonts w:hint="eastAsia"/>
          <w:sz w:val="24"/>
        </w:rPr>
        <w:t>）货物为原厂商未启封全新包装，具出厂合格证，序列号、包装箱号与出厂批号一致，并可追索查阅。</w:t>
      </w:r>
    </w:p>
    <w:p w14:paraId="589CA72E">
      <w:pPr>
        <w:pStyle w:val="5"/>
        <w:widowControl w:val="0"/>
        <w:numPr>
          <w:ilvl w:val="0"/>
          <w:numId w:val="0"/>
        </w:numPr>
        <w:jc w:val="both"/>
        <w:rPr>
          <w:rFonts w:hint="eastAsia"/>
          <w:b w:val="0"/>
          <w:bCs w:val="0"/>
          <w:sz w:val="24"/>
          <w:lang w:val="en-US" w:eastAsia="zh-CN"/>
        </w:rPr>
      </w:pPr>
      <w:r>
        <w:rPr>
          <w:rFonts w:hint="eastAsia"/>
          <w:sz w:val="24"/>
        </w:rPr>
        <w:t>（</w:t>
      </w:r>
      <w:r>
        <w:rPr>
          <w:rFonts w:hint="eastAsia"/>
          <w:sz w:val="24"/>
          <w:lang w:val="en-US" w:eastAsia="zh-CN"/>
        </w:rPr>
        <w:t>3</w:t>
      </w:r>
      <w:r>
        <w:rPr>
          <w:rFonts w:hint="eastAsia"/>
          <w:sz w:val="24"/>
        </w:rPr>
        <w:t>）安装调试完毕运行 7 日无质量问题后，</w:t>
      </w:r>
      <w:r>
        <w:rPr>
          <w:rFonts w:hint="eastAsia"/>
          <w:sz w:val="24"/>
          <w:lang w:val="en-US" w:eastAsia="zh-CN"/>
        </w:rPr>
        <w:t>中选人向采购人发出</w:t>
      </w:r>
      <w:r>
        <w:rPr>
          <w:rFonts w:hint="eastAsia"/>
          <w:sz w:val="24"/>
        </w:rPr>
        <w:t>验收通知</w:t>
      </w:r>
      <w:r>
        <w:rPr>
          <w:rFonts w:hint="eastAsia"/>
          <w:sz w:val="24"/>
          <w:lang w:eastAsia="zh-CN"/>
        </w:rPr>
        <w:t>，</w:t>
      </w:r>
      <w:r>
        <w:rPr>
          <w:rFonts w:hint="eastAsia"/>
          <w:sz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4D14EB31">
      <w:pPr>
        <w:pStyle w:val="5"/>
        <w:widowControl w:val="0"/>
        <w:numPr>
          <w:ilvl w:val="0"/>
          <w:numId w:val="0"/>
        </w:numPr>
        <w:jc w:val="both"/>
        <w:rPr>
          <w:rFonts w:hint="eastAsia"/>
          <w:b w:val="0"/>
          <w:bCs w:val="0"/>
          <w:sz w:val="24"/>
          <w:lang w:val="en-US" w:eastAsia="zh-CN"/>
        </w:rPr>
      </w:pPr>
    </w:p>
    <w:p w14:paraId="29E1B4AA">
      <w:pPr>
        <w:pStyle w:val="5"/>
        <w:widowControl w:val="0"/>
        <w:numPr>
          <w:ilvl w:val="0"/>
          <w:numId w:val="0"/>
        </w:numPr>
        <w:jc w:val="both"/>
        <w:rPr>
          <w:rFonts w:hint="eastAsia"/>
          <w:b w:val="0"/>
          <w:bCs w:val="0"/>
          <w:sz w:val="24"/>
          <w:lang w:val="en-US" w:eastAsia="zh-CN"/>
        </w:rPr>
      </w:pPr>
    </w:p>
    <w:p w14:paraId="10F45E33">
      <w:pPr>
        <w:pStyle w:val="5"/>
        <w:widowControl w:val="0"/>
        <w:numPr>
          <w:ilvl w:val="0"/>
          <w:numId w:val="0"/>
        </w:numPr>
        <w:jc w:val="both"/>
        <w:rPr>
          <w:rFonts w:hint="eastAsia"/>
          <w:b w:val="0"/>
          <w:bCs w:val="0"/>
          <w:sz w:val="24"/>
          <w:lang w:val="en-US" w:eastAsia="zh-CN"/>
        </w:rPr>
      </w:pPr>
    </w:p>
    <w:p w14:paraId="55DA2F02">
      <w:pPr>
        <w:pStyle w:val="5"/>
        <w:widowControl w:val="0"/>
        <w:numPr>
          <w:ilvl w:val="0"/>
          <w:numId w:val="0"/>
        </w:numPr>
        <w:jc w:val="both"/>
        <w:rPr>
          <w:rFonts w:hint="eastAsia"/>
          <w:b w:val="0"/>
          <w:bCs w:val="0"/>
          <w:sz w:val="24"/>
          <w:lang w:val="en-US" w:eastAsia="zh-CN"/>
        </w:rPr>
      </w:pPr>
    </w:p>
    <w:p w14:paraId="48070665">
      <w:pPr>
        <w:pStyle w:val="5"/>
        <w:widowControl w:val="0"/>
        <w:numPr>
          <w:ilvl w:val="0"/>
          <w:numId w:val="0"/>
        </w:numPr>
        <w:jc w:val="both"/>
        <w:rPr>
          <w:rFonts w:hint="eastAsia"/>
          <w:b w:val="0"/>
          <w:bCs w:val="0"/>
          <w:sz w:val="24"/>
          <w:lang w:val="en-US" w:eastAsia="zh-CN"/>
        </w:rPr>
      </w:pPr>
    </w:p>
    <w:p w14:paraId="06565EB3">
      <w:pPr>
        <w:pStyle w:val="5"/>
        <w:widowControl w:val="0"/>
        <w:numPr>
          <w:ilvl w:val="0"/>
          <w:numId w:val="0"/>
        </w:numPr>
        <w:jc w:val="both"/>
        <w:rPr>
          <w:rFonts w:hint="eastAsia"/>
          <w:b w:val="0"/>
          <w:bCs w:val="0"/>
          <w:sz w:val="24"/>
          <w:lang w:val="en-US" w:eastAsia="zh-CN"/>
        </w:rPr>
      </w:pPr>
    </w:p>
    <w:p w14:paraId="28071077">
      <w:pPr>
        <w:pStyle w:val="5"/>
        <w:widowControl w:val="0"/>
        <w:numPr>
          <w:ilvl w:val="0"/>
          <w:numId w:val="0"/>
        </w:numPr>
        <w:jc w:val="both"/>
        <w:rPr>
          <w:rFonts w:hint="eastAsia"/>
          <w:b w:val="0"/>
          <w:bCs w:val="0"/>
          <w:sz w:val="24"/>
          <w:lang w:val="en-US" w:eastAsia="zh-CN"/>
        </w:rPr>
      </w:pPr>
    </w:p>
    <w:p w14:paraId="0618C587">
      <w:pPr>
        <w:pStyle w:val="5"/>
        <w:widowControl w:val="0"/>
        <w:numPr>
          <w:ilvl w:val="0"/>
          <w:numId w:val="0"/>
        </w:numPr>
        <w:jc w:val="both"/>
        <w:rPr>
          <w:rFonts w:hint="eastAsia"/>
          <w:b w:val="0"/>
          <w:bCs w:val="0"/>
          <w:sz w:val="24"/>
          <w:lang w:val="en-US" w:eastAsia="zh-CN"/>
        </w:rPr>
      </w:pPr>
    </w:p>
    <w:p w14:paraId="64E7C3EB">
      <w:pPr>
        <w:pStyle w:val="5"/>
        <w:widowControl w:val="0"/>
        <w:numPr>
          <w:ilvl w:val="0"/>
          <w:numId w:val="0"/>
        </w:numPr>
        <w:jc w:val="both"/>
        <w:rPr>
          <w:rFonts w:hint="eastAsia"/>
          <w:b w:val="0"/>
          <w:bCs w:val="0"/>
          <w:sz w:val="24"/>
          <w:lang w:val="en-US" w:eastAsia="zh-CN"/>
        </w:rPr>
      </w:pPr>
    </w:p>
    <w:p w14:paraId="560523F8">
      <w:pPr>
        <w:pStyle w:val="5"/>
        <w:widowControl w:val="0"/>
        <w:numPr>
          <w:ilvl w:val="0"/>
          <w:numId w:val="0"/>
        </w:numPr>
        <w:jc w:val="both"/>
        <w:rPr>
          <w:rFonts w:hint="eastAsia"/>
          <w:b w:val="0"/>
          <w:bCs w:val="0"/>
          <w:sz w:val="24"/>
          <w:lang w:val="en-US" w:eastAsia="zh-CN"/>
        </w:rPr>
      </w:pPr>
    </w:p>
    <w:p w14:paraId="62925FF2">
      <w:pPr>
        <w:pStyle w:val="5"/>
        <w:widowControl w:val="0"/>
        <w:numPr>
          <w:ilvl w:val="0"/>
          <w:numId w:val="0"/>
        </w:numPr>
        <w:jc w:val="both"/>
        <w:rPr>
          <w:rFonts w:hint="eastAsia"/>
          <w:b w:val="0"/>
          <w:bCs w:val="0"/>
          <w:sz w:val="24"/>
          <w:lang w:val="en-US" w:eastAsia="zh-CN"/>
        </w:rPr>
      </w:pPr>
    </w:p>
    <w:p w14:paraId="60C731BA">
      <w:pPr>
        <w:pStyle w:val="5"/>
        <w:widowControl w:val="0"/>
        <w:numPr>
          <w:ilvl w:val="0"/>
          <w:numId w:val="0"/>
        </w:numPr>
        <w:jc w:val="both"/>
        <w:rPr>
          <w:rFonts w:hint="eastAsia"/>
          <w:b w:val="0"/>
          <w:bCs w:val="0"/>
          <w:sz w:val="24"/>
          <w:lang w:val="en-US" w:eastAsia="zh-CN"/>
        </w:rPr>
      </w:pPr>
    </w:p>
    <w:p w14:paraId="3F1D2FE4">
      <w:pPr>
        <w:pStyle w:val="5"/>
        <w:widowControl w:val="0"/>
        <w:numPr>
          <w:ilvl w:val="0"/>
          <w:numId w:val="0"/>
        </w:numPr>
        <w:jc w:val="both"/>
        <w:rPr>
          <w:rFonts w:hint="eastAsia"/>
          <w:b w:val="0"/>
          <w:bCs w:val="0"/>
          <w:sz w:val="24"/>
          <w:lang w:val="en-US" w:eastAsia="zh-CN"/>
        </w:rPr>
      </w:pPr>
    </w:p>
    <w:p w14:paraId="7E05896F">
      <w:pPr>
        <w:pStyle w:val="5"/>
        <w:widowControl w:val="0"/>
        <w:numPr>
          <w:ilvl w:val="0"/>
          <w:numId w:val="0"/>
        </w:numPr>
        <w:jc w:val="both"/>
        <w:rPr>
          <w:rFonts w:hint="eastAsia"/>
          <w:b w:val="0"/>
          <w:bCs w:val="0"/>
          <w:sz w:val="24"/>
          <w:lang w:val="en-US" w:eastAsia="zh-CN"/>
        </w:rPr>
      </w:pPr>
    </w:p>
    <w:p w14:paraId="78EB4799">
      <w:pPr>
        <w:pStyle w:val="5"/>
        <w:widowControl w:val="0"/>
        <w:numPr>
          <w:ilvl w:val="0"/>
          <w:numId w:val="0"/>
        </w:numPr>
        <w:jc w:val="both"/>
        <w:rPr>
          <w:rFonts w:hint="eastAsia"/>
          <w:b w:val="0"/>
          <w:bCs w:val="0"/>
          <w:sz w:val="24"/>
          <w:lang w:val="en-US" w:eastAsia="zh-CN"/>
        </w:rPr>
      </w:pPr>
    </w:p>
    <w:p w14:paraId="44694989">
      <w:pPr>
        <w:pStyle w:val="5"/>
        <w:widowControl w:val="0"/>
        <w:numPr>
          <w:ilvl w:val="0"/>
          <w:numId w:val="0"/>
        </w:numPr>
        <w:jc w:val="both"/>
        <w:rPr>
          <w:rFonts w:hint="eastAsia"/>
          <w:b w:val="0"/>
          <w:bCs w:val="0"/>
          <w:sz w:val="24"/>
          <w:lang w:val="en-US" w:eastAsia="zh-CN"/>
        </w:rPr>
      </w:pPr>
    </w:p>
    <w:p w14:paraId="6062CC70">
      <w:pPr>
        <w:pStyle w:val="5"/>
        <w:widowControl w:val="0"/>
        <w:numPr>
          <w:ilvl w:val="0"/>
          <w:numId w:val="0"/>
        </w:numPr>
        <w:jc w:val="both"/>
        <w:rPr>
          <w:rFonts w:hint="eastAsia"/>
          <w:b w:val="0"/>
          <w:bCs w:val="0"/>
          <w:sz w:val="24"/>
          <w:lang w:val="en-US" w:eastAsia="zh-CN"/>
        </w:rPr>
      </w:pPr>
    </w:p>
    <w:p w14:paraId="08538786">
      <w:pPr>
        <w:pStyle w:val="5"/>
        <w:widowControl w:val="0"/>
        <w:numPr>
          <w:ilvl w:val="0"/>
          <w:numId w:val="0"/>
        </w:numPr>
        <w:jc w:val="both"/>
        <w:rPr>
          <w:rFonts w:hint="eastAsia"/>
          <w:b w:val="0"/>
          <w:bCs w:val="0"/>
          <w:sz w:val="24"/>
          <w:lang w:val="en-US" w:eastAsia="zh-CN"/>
        </w:rPr>
      </w:pPr>
    </w:p>
    <w:p w14:paraId="029815A2">
      <w:pPr>
        <w:pStyle w:val="5"/>
        <w:widowControl w:val="0"/>
        <w:numPr>
          <w:ilvl w:val="0"/>
          <w:numId w:val="0"/>
        </w:numPr>
        <w:jc w:val="both"/>
        <w:rPr>
          <w:rFonts w:hint="eastAsia"/>
          <w:b w:val="0"/>
          <w:bCs w:val="0"/>
          <w:sz w:val="24"/>
          <w:lang w:val="en-US" w:eastAsia="zh-CN"/>
        </w:rPr>
      </w:pPr>
    </w:p>
    <w:p w14:paraId="7DAAED0B">
      <w:pPr>
        <w:pStyle w:val="5"/>
        <w:widowControl w:val="0"/>
        <w:numPr>
          <w:ilvl w:val="0"/>
          <w:numId w:val="0"/>
        </w:numPr>
        <w:jc w:val="both"/>
        <w:rPr>
          <w:rFonts w:hint="eastAsia"/>
          <w:b w:val="0"/>
          <w:bCs w:val="0"/>
          <w:sz w:val="24"/>
          <w:lang w:val="en-US" w:eastAsia="zh-CN"/>
        </w:rPr>
      </w:pPr>
    </w:p>
    <w:p w14:paraId="7B40890C">
      <w:pPr>
        <w:pStyle w:val="5"/>
        <w:widowControl w:val="0"/>
        <w:numPr>
          <w:ilvl w:val="0"/>
          <w:numId w:val="0"/>
        </w:numPr>
        <w:jc w:val="both"/>
        <w:rPr>
          <w:rFonts w:hint="eastAsia"/>
          <w:b w:val="0"/>
          <w:bCs w:val="0"/>
          <w:sz w:val="24"/>
          <w:lang w:val="en-US" w:eastAsia="zh-CN"/>
        </w:rPr>
      </w:pPr>
    </w:p>
    <w:p w14:paraId="71AC3985">
      <w:pPr>
        <w:pStyle w:val="5"/>
        <w:widowControl w:val="0"/>
        <w:numPr>
          <w:ilvl w:val="0"/>
          <w:numId w:val="0"/>
        </w:numPr>
        <w:jc w:val="both"/>
        <w:rPr>
          <w:rFonts w:hint="eastAsia"/>
          <w:b w:val="0"/>
          <w:bCs w:val="0"/>
          <w:sz w:val="24"/>
          <w:lang w:val="en-US" w:eastAsia="zh-CN"/>
        </w:rPr>
      </w:pPr>
    </w:p>
    <w:p w14:paraId="048B90AC">
      <w:pPr>
        <w:pStyle w:val="5"/>
        <w:widowControl w:val="0"/>
        <w:numPr>
          <w:ilvl w:val="0"/>
          <w:numId w:val="0"/>
        </w:numPr>
        <w:jc w:val="both"/>
        <w:rPr>
          <w:rFonts w:hint="eastAsia"/>
          <w:b w:val="0"/>
          <w:bCs w:val="0"/>
          <w:sz w:val="24"/>
          <w:lang w:val="en-US" w:eastAsia="zh-CN"/>
        </w:rPr>
      </w:pPr>
    </w:p>
    <w:p w14:paraId="5279829E">
      <w:pPr>
        <w:pStyle w:val="5"/>
        <w:widowControl w:val="0"/>
        <w:numPr>
          <w:ilvl w:val="0"/>
          <w:numId w:val="0"/>
        </w:numPr>
        <w:jc w:val="both"/>
        <w:rPr>
          <w:rFonts w:hint="eastAsia"/>
          <w:b w:val="0"/>
          <w:bCs w:val="0"/>
          <w:sz w:val="24"/>
          <w:lang w:val="en-US" w:eastAsia="zh-CN"/>
        </w:rPr>
      </w:pPr>
    </w:p>
    <w:p w14:paraId="17B72AEA">
      <w:pPr>
        <w:pStyle w:val="5"/>
        <w:widowControl w:val="0"/>
        <w:numPr>
          <w:ilvl w:val="0"/>
          <w:numId w:val="0"/>
        </w:numPr>
        <w:jc w:val="both"/>
        <w:rPr>
          <w:rFonts w:hint="eastAsia"/>
          <w:b w:val="0"/>
          <w:bCs w:val="0"/>
          <w:sz w:val="24"/>
          <w:lang w:val="en-US" w:eastAsia="zh-CN"/>
        </w:rPr>
      </w:pPr>
    </w:p>
    <w:p w14:paraId="6F691D5E">
      <w:pPr>
        <w:pStyle w:val="5"/>
        <w:widowControl w:val="0"/>
        <w:numPr>
          <w:ilvl w:val="0"/>
          <w:numId w:val="0"/>
        </w:numPr>
        <w:jc w:val="both"/>
        <w:rPr>
          <w:rFonts w:hint="eastAsia"/>
          <w:b w:val="0"/>
          <w:bCs w:val="0"/>
          <w:sz w:val="24"/>
          <w:lang w:val="en-US" w:eastAsia="zh-CN"/>
        </w:rPr>
      </w:pPr>
    </w:p>
    <w:p w14:paraId="30CAEB6C">
      <w:pPr>
        <w:pStyle w:val="5"/>
        <w:widowControl w:val="0"/>
        <w:numPr>
          <w:ilvl w:val="0"/>
          <w:numId w:val="0"/>
        </w:numPr>
        <w:jc w:val="both"/>
        <w:rPr>
          <w:rFonts w:hint="eastAsia"/>
          <w:b w:val="0"/>
          <w:bCs w:val="0"/>
          <w:sz w:val="24"/>
          <w:lang w:val="en-US" w:eastAsia="zh-CN"/>
        </w:rPr>
      </w:pPr>
    </w:p>
    <w:p w14:paraId="5361E5FB">
      <w:pPr>
        <w:pStyle w:val="5"/>
        <w:widowControl w:val="0"/>
        <w:numPr>
          <w:ilvl w:val="0"/>
          <w:numId w:val="0"/>
        </w:numPr>
        <w:jc w:val="both"/>
        <w:rPr>
          <w:rFonts w:hint="eastAsia"/>
          <w:b w:val="0"/>
          <w:bCs w:val="0"/>
          <w:sz w:val="24"/>
          <w:lang w:val="en-US" w:eastAsia="zh-CN"/>
        </w:rPr>
      </w:pPr>
    </w:p>
    <w:p w14:paraId="2DEEE8D5">
      <w:pPr>
        <w:pStyle w:val="5"/>
        <w:widowControl w:val="0"/>
        <w:numPr>
          <w:ilvl w:val="0"/>
          <w:numId w:val="0"/>
        </w:numPr>
        <w:jc w:val="both"/>
        <w:rPr>
          <w:rFonts w:hint="eastAsia"/>
          <w:b w:val="0"/>
          <w:bCs w:val="0"/>
          <w:sz w:val="24"/>
          <w:lang w:val="en-US" w:eastAsia="zh-CN"/>
        </w:rPr>
      </w:pPr>
    </w:p>
    <w:p w14:paraId="55197AB5">
      <w:pPr>
        <w:pStyle w:val="5"/>
        <w:widowControl w:val="0"/>
        <w:numPr>
          <w:ilvl w:val="0"/>
          <w:numId w:val="0"/>
        </w:numPr>
        <w:jc w:val="both"/>
        <w:rPr>
          <w:rFonts w:hint="eastAsia"/>
          <w:b w:val="0"/>
          <w:bCs w:val="0"/>
          <w:sz w:val="24"/>
          <w:lang w:val="en-US" w:eastAsia="zh-CN"/>
        </w:rPr>
      </w:pPr>
    </w:p>
    <w:p w14:paraId="1C31D6B9">
      <w:pPr>
        <w:pStyle w:val="5"/>
        <w:widowControl w:val="0"/>
        <w:numPr>
          <w:ilvl w:val="0"/>
          <w:numId w:val="0"/>
        </w:numPr>
        <w:jc w:val="both"/>
        <w:rPr>
          <w:rFonts w:hint="eastAsia"/>
          <w:b w:val="0"/>
          <w:bCs w:val="0"/>
          <w:sz w:val="24"/>
          <w:lang w:val="en-US" w:eastAsia="zh-CN"/>
        </w:rPr>
      </w:pPr>
    </w:p>
    <w:p w14:paraId="158694EC">
      <w:pPr>
        <w:pStyle w:val="5"/>
        <w:widowControl w:val="0"/>
        <w:numPr>
          <w:ilvl w:val="0"/>
          <w:numId w:val="0"/>
        </w:numPr>
        <w:jc w:val="both"/>
        <w:rPr>
          <w:rFonts w:hint="eastAsia"/>
          <w:b w:val="0"/>
          <w:bCs w:val="0"/>
          <w:sz w:val="24"/>
          <w:lang w:val="en-US" w:eastAsia="zh-CN"/>
        </w:rPr>
      </w:pPr>
    </w:p>
    <w:p w14:paraId="2FE75E3B">
      <w:pPr>
        <w:pStyle w:val="5"/>
        <w:widowControl w:val="0"/>
        <w:numPr>
          <w:ilvl w:val="0"/>
          <w:numId w:val="0"/>
        </w:numPr>
        <w:jc w:val="both"/>
        <w:rPr>
          <w:rFonts w:hint="eastAsia"/>
          <w:b w:val="0"/>
          <w:bCs w:val="0"/>
          <w:sz w:val="24"/>
          <w:lang w:val="en-US" w:eastAsia="zh-CN"/>
        </w:rPr>
      </w:pPr>
    </w:p>
    <w:p w14:paraId="18E56599">
      <w:pPr>
        <w:pStyle w:val="5"/>
        <w:widowControl w:val="0"/>
        <w:numPr>
          <w:ilvl w:val="0"/>
          <w:numId w:val="0"/>
        </w:numPr>
        <w:jc w:val="both"/>
        <w:rPr>
          <w:rFonts w:hint="eastAsia"/>
          <w:b w:val="0"/>
          <w:bCs w:val="0"/>
          <w:sz w:val="24"/>
          <w:lang w:val="en-US" w:eastAsia="zh-CN"/>
        </w:rPr>
      </w:pPr>
    </w:p>
    <w:p w14:paraId="3102CBCC">
      <w:pPr>
        <w:pStyle w:val="5"/>
        <w:widowControl w:val="0"/>
        <w:numPr>
          <w:ilvl w:val="0"/>
          <w:numId w:val="0"/>
        </w:numPr>
        <w:jc w:val="both"/>
        <w:rPr>
          <w:rFonts w:hint="eastAsia"/>
          <w:b w:val="0"/>
          <w:bCs w:val="0"/>
          <w:sz w:val="24"/>
          <w:lang w:val="en-US" w:eastAsia="zh-CN"/>
        </w:rPr>
      </w:pPr>
    </w:p>
    <w:p w14:paraId="29C80BB1">
      <w:pPr>
        <w:pStyle w:val="3"/>
        <w:bidi w:val="0"/>
        <w:rPr>
          <w:rFonts w:hint="eastAsia"/>
          <w:lang w:val="en-US" w:eastAsia="zh-CN"/>
        </w:rPr>
      </w:pPr>
      <w:r>
        <w:rPr>
          <w:rFonts w:hint="eastAsia"/>
          <w:lang w:val="en-US" w:eastAsia="zh-CN"/>
        </w:rPr>
        <w:t>四、合同模板（参考模板，最终合同以院方与成交商协商确定）</w:t>
      </w:r>
    </w:p>
    <w:p w14:paraId="3B40E650">
      <w:pPr>
        <w:spacing w:line="480" w:lineRule="auto"/>
        <w:jc w:val="center"/>
        <w:rPr>
          <w:rFonts w:ascii="宋体" w:hAnsi="宋体"/>
          <w:b/>
          <w:sz w:val="44"/>
          <w:szCs w:val="44"/>
        </w:rPr>
      </w:pPr>
      <w:r>
        <w:rPr>
          <w:rFonts w:hint="eastAsia" w:ascii="宋体" w:hAnsi="宋体"/>
          <w:b/>
          <w:sz w:val="44"/>
          <w:szCs w:val="44"/>
        </w:rPr>
        <w:t>南方医科大学中西医结合医院</w:t>
      </w:r>
    </w:p>
    <w:p w14:paraId="48F50579">
      <w:pPr>
        <w:spacing w:line="480" w:lineRule="auto"/>
        <w:jc w:val="center"/>
        <w:rPr>
          <w:rFonts w:ascii="宋体" w:hAnsi="宋体"/>
          <w:b/>
          <w:sz w:val="44"/>
          <w:szCs w:val="44"/>
        </w:rPr>
      </w:pPr>
      <w:r>
        <w:rPr>
          <w:rFonts w:hint="eastAsia" w:ascii="宋体" w:hAnsi="宋体"/>
          <w:b/>
          <w:sz w:val="44"/>
          <w:szCs w:val="44"/>
        </w:rPr>
        <w:t xml:space="preserve">停车系统产品采购施工合同书 </w:t>
      </w:r>
    </w:p>
    <w:p w14:paraId="789A2DDC">
      <w:pPr>
        <w:spacing w:line="480" w:lineRule="auto"/>
        <w:jc w:val="right"/>
        <w:rPr>
          <w:rFonts w:ascii="宋体" w:hAnsi="宋体"/>
          <w:b/>
          <w:sz w:val="24"/>
        </w:rPr>
      </w:pPr>
      <w:r>
        <w:rPr>
          <w:rFonts w:hint="eastAsia" w:ascii="宋体" w:hAnsi="宋体"/>
          <w:sz w:val="24"/>
        </w:rPr>
        <w:t>【</w:t>
      </w:r>
      <w:r>
        <w:rPr>
          <w:rFonts w:hint="eastAsia" w:ascii="宋体"/>
          <w:sz w:val="24"/>
        </w:rPr>
        <w:t>编号：NFZXY-202</w:t>
      </w:r>
      <w:r>
        <w:rPr>
          <w:rFonts w:hint="eastAsia" w:ascii="宋体"/>
          <w:sz w:val="24"/>
          <w:lang w:val="en-US" w:eastAsia="zh-CN"/>
        </w:rPr>
        <w:t>5</w:t>
      </w:r>
      <w:r>
        <w:rPr>
          <w:rFonts w:hint="eastAsia" w:ascii="宋体"/>
          <w:sz w:val="24"/>
        </w:rPr>
        <w:t>-</w:t>
      </w:r>
      <w:r>
        <w:rPr>
          <w:rFonts w:hint="eastAsia" w:ascii="宋体"/>
          <w:sz w:val="24"/>
          <w:lang w:val="en-US" w:eastAsia="zh-CN"/>
        </w:rPr>
        <w:t>1</w:t>
      </w:r>
      <w:r>
        <w:rPr>
          <w:rFonts w:hint="eastAsia" w:ascii="宋体" w:hAnsi="宋体"/>
          <w:sz w:val="24"/>
        </w:rPr>
        <w:t>】</w:t>
      </w:r>
    </w:p>
    <w:p w14:paraId="2DE2B420">
      <w:pPr>
        <w:spacing w:line="480" w:lineRule="auto"/>
        <w:ind w:firstLine="482" w:firstLineChars="200"/>
        <w:rPr>
          <w:rFonts w:ascii="宋体" w:hAnsi="宋体"/>
          <w:b/>
          <w:sz w:val="24"/>
        </w:rPr>
      </w:pPr>
      <w:r>
        <w:rPr>
          <w:rFonts w:hint="eastAsia" w:ascii="宋体" w:hAnsi="宋体"/>
          <w:b/>
          <w:sz w:val="24"/>
        </w:rPr>
        <w:t>甲方（需方）：南方医科大学中西医结合医院</w:t>
      </w:r>
    </w:p>
    <w:p w14:paraId="587B82D4">
      <w:pPr>
        <w:spacing w:before="286" w:beforeLines="100" w:line="480" w:lineRule="auto"/>
        <w:jc w:val="left"/>
        <w:rPr>
          <w:rFonts w:hint="eastAsia" w:ascii="宋体" w:hAnsi="宋体"/>
          <w:b/>
          <w:bCs w:val="0"/>
          <w:sz w:val="24"/>
          <w:szCs w:val="24"/>
          <w:lang w:eastAsia="zh-CN"/>
        </w:rPr>
      </w:pPr>
      <w:r>
        <w:rPr>
          <w:b/>
        </w:rPr>
        <w:t xml:space="preserve">  </w:t>
      </w:r>
      <w:r>
        <w:rPr>
          <w:rFonts w:hint="eastAsia"/>
          <w:b/>
          <w:lang w:val="en-US" w:eastAsia="zh-CN"/>
        </w:rPr>
        <w:t xml:space="preserve">  </w:t>
      </w:r>
      <w:r>
        <w:rPr>
          <w:b/>
        </w:rPr>
        <w:t xml:space="preserve"> 乙方（供方）：</w:t>
      </w:r>
    </w:p>
    <w:p w14:paraId="6E3955F0">
      <w:pPr>
        <w:spacing w:before="286" w:beforeLines="100" w:line="480" w:lineRule="auto"/>
        <w:jc w:val="left"/>
        <w:rPr>
          <w:rFonts w:hint="eastAsia" w:ascii="宋体" w:hAnsi="宋体"/>
          <w:b/>
          <w:bCs w:val="0"/>
          <w:sz w:val="24"/>
          <w:szCs w:val="24"/>
          <w:lang w:val="en-US" w:eastAsia="zh-CN"/>
        </w:rPr>
      </w:pPr>
    </w:p>
    <w:p w14:paraId="017395E9">
      <w:pPr>
        <w:spacing w:line="480" w:lineRule="auto"/>
        <w:ind w:firstLine="480" w:firstLineChars="200"/>
        <w:rPr>
          <w:rFonts w:ascii="宋体" w:hAnsi="宋体"/>
          <w:sz w:val="24"/>
        </w:rPr>
      </w:pPr>
      <w:r>
        <w:rPr>
          <w:rFonts w:hint="eastAsia"/>
          <w:sz w:val="24"/>
        </w:rPr>
        <w:t>根据《中华人民共和国合同法》及相关法律法规的要求，</w:t>
      </w:r>
      <w:r>
        <w:rPr>
          <w:rFonts w:hint="eastAsia" w:ascii="宋体" w:hAnsi="宋体"/>
          <w:sz w:val="24"/>
        </w:rPr>
        <w:t>经甲、乙双方共同协商，本着“平等、互利”的原则，特签订以下合同条款：</w:t>
      </w:r>
    </w:p>
    <w:p w14:paraId="40A672EB">
      <w:pPr>
        <w:spacing w:line="480" w:lineRule="auto"/>
        <w:ind w:firstLine="482" w:firstLineChars="200"/>
        <w:rPr>
          <w:rFonts w:hint="eastAsia" w:ascii="楷体_GB2312" w:eastAsia="宋体"/>
          <w:sz w:val="24"/>
          <w:lang w:val="en-US" w:eastAsia="zh-CN"/>
        </w:rPr>
      </w:pPr>
      <w:r>
        <w:rPr>
          <w:rFonts w:hint="eastAsia" w:ascii="宋体" w:hAnsi="宋体"/>
          <w:b/>
          <w:sz w:val="24"/>
        </w:rPr>
        <w:t>第一条：</w:t>
      </w:r>
      <w:r>
        <w:rPr>
          <w:rFonts w:hint="eastAsia" w:ascii="宋体" w:hAnsi="宋体"/>
          <w:b/>
          <w:sz w:val="24"/>
          <w:lang w:eastAsia="zh-CN"/>
        </w:rPr>
        <w:t>项目</w:t>
      </w:r>
      <w:r>
        <w:rPr>
          <w:rFonts w:hint="eastAsia" w:ascii="宋体" w:hAnsi="宋体"/>
          <w:b/>
          <w:sz w:val="24"/>
        </w:rPr>
        <w:t>名称、</w:t>
      </w:r>
      <w:r>
        <w:rPr>
          <w:rFonts w:hint="eastAsia" w:ascii="宋体" w:hAnsi="宋体"/>
          <w:b/>
          <w:sz w:val="24"/>
          <w:lang w:val="en-US" w:eastAsia="zh-CN"/>
        </w:rPr>
        <w:t>金额、</w:t>
      </w:r>
      <w:r>
        <w:rPr>
          <w:rFonts w:hint="eastAsia" w:ascii="宋体" w:hAnsi="宋体"/>
          <w:b/>
          <w:sz w:val="24"/>
        </w:rPr>
        <w:t>型号、数量、</w:t>
      </w:r>
      <w:r>
        <w:rPr>
          <w:rFonts w:hint="eastAsia" w:ascii="宋体" w:hAnsi="宋体"/>
          <w:b/>
          <w:sz w:val="24"/>
          <w:lang w:val="en-US" w:eastAsia="zh-CN"/>
        </w:rPr>
        <w:t>参数</w:t>
      </w:r>
    </w:p>
    <w:p w14:paraId="0D768EA2">
      <w:pPr>
        <w:pStyle w:val="33"/>
        <w:numPr>
          <w:ilvl w:val="0"/>
          <w:numId w:val="0"/>
        </w:numPr>
        <w:snapToGrid w:val="0"/>
        <w:spacing w:line="480" w:lineRule="auto"/>
        <w:ind w:left="480" w:leftChars="0"/>
        <w:rPr>
          <w:rFonts w:hint="default" w:ascii="宋体" w:hAnsi="宋体" w:eastAsia="宋体"/>
          <w:bCs/>
          <w:sz w:val="24"/>
          <w:lang w:val="en-US" w:eastAsia="zh-CN"/>
        </w:rPr>
      </w:pPr>
      <w:r>
        <w:rPr>
          <w:rFonts w:hint="eastAsia" w:ascii="宋体" w:hAnsi="宋体"/>
          <w:sz w:val="24"/>
          <w:szCs w:val="24"/>
          <w:lang w:val="en-US" w:eastAsia="zh-CN"/>
        </w:rPr>
        <w:t>1、</w:t>
      </w:r>
      <w:r>
        <w:rPr>
          <w:rFonts w:hint="eastAsia" w:ascii="宋体" w:hAnsi="宋体"/>
          <w:sz w:val="24"/>
          <w:szCs w:val="24"/>
          <w:lang w:eastAsia="zh-CN"/>
        </w:rPr>
        <w:t>项目</w:t>
      </w:r>
      <w:r>
        <w:rPr>
          <w:rFonts w:hint="eastAsia" w:ascii="宋体" w:hAnsi="宋体"/>
          <w:sz w:val="24"/>
          <w:szCs w:val="24"/>
        </w:rPr>
        <w:t>名称：</w:t>
      </w:r>
      <w:r>
        <w:rPr>
          <w:rFonts w:hint="eastAsia" w:ascii="宋体" w:hAnsi="宋体"/>
          <w:sz w:val="24"/>
          <w:szCs w:val="24"/>
          <w:lang w:val="en-US" w:eastAsia="zh-CN"/>
        </w:rPr>
        <w:t>停车系统产品采购施工项目</w:t>
      </w:r>
    </w:p>
    <w:p w14:paraId="44D55AEA">
      <w:pPr>
        <w:snapToGrid w:val="0"/>
        <w:spacing w:line="480" w:lineRule="auto"/>
        <w:ind w:firstLine="480" w:firstLineChars="200"/>
        <w:rPr>
          <w:rFonts w:hint="eastAsia" w:ascii="宋体" w:hAnsi="宋体" w:cs="宋体"/>
          <w:b/>
          <w:bCs/>
          <w:color w:val="C00000"/>
          <w:kern w:val="0"/>
          <w:sz w:val="24"/>
          <w:u w:val="single"/>
        </w:rPr>
      </w:pPr>
      <w:r>
        <w:rPr>
          <w:rFonts w:hint="eastAsia" w:ascii="宋体" w:hAnsi="宋体"/>
          <w:bCs/>
          <w:sz w:val="24"/>
        </w:rPr>
        <w:t>2、</w:t>
      </w:r>
      <w:r>
        <w:rPr>
          <w:rFonts w:hint="eastAsia" w:ascii="宋体" w:hAnsi="宋体"/>
          <w:sz w:val="24"/>
        </w:rPr>
        <w:t>本合同总金额为：</w:t>
      </w:r>
      <w:r>
        <w:rPr>
          <w:rFonts w:hint="eastAsia" w:ascii="宋体" w:hAnsi="宋体" w:cs="宋体"/>
          <w:color w:val="auto"/>
          <w:kern w:val="0"/>
          <w:sz w:val="24"/>
          <w:u w:val="single"/>
        </w:rPr>
        <w:t>￥：</w:t>
      </w:r>
      <w:r>
        <w:rPr>
          <w:rFonts w:hint="eastAsia" w:ascii="宋体" w:hAnsi="宋体" w:cs="宋体"/>
          <w:color w:val="auto"/>
          <w:kern w:val="0"/>
          <w:sz w:val="32"/>
          <w:szCs w:val="32"/>
          <w:u w:val="single"/>
        </w:rPr>
        <w:t xml:space="preserve"> </w:t>
      </w:r>
      <w:r>
        <w:rPr>
          <w:rFonts w:hint="eastAsia" w:ascii="宋体" w:hAnsi="宋体" w:cs="宋体"/>
          <w:color w:val="auto"/>
          <w:kern w:val="0"/>
          <w:sz w:val="24"/>
          <w:u w:val="single"/>
        </w:rPr>
        <w:t xml:space="preserve"> （大写：</w:t>
      </w:r>
      <w:r>
        <w:rPr>
          <w:rFonts w:hint="eastAsia" w:ascii="宋体" w:hAnsi="宋体" w:cs="宋体"/>
          <w:color w:val="auto"/>
          <w:kern w:val="0"/>
          <w:sz w:val="24"/>
          <w:u w:val="single"/>
          <w:lang w:eastAsia="zh-CN"/>
        </w:rPr>
        <w:t>整）</w:t>
      </w:r>
      <w:r>
        <w:rPr>
          <w:rFonts w:hint="eastAsia" w:ascii="宋体" w:hAnsi="宋体" w:cs="宋体"/>
          <w:color w:val="auto"/>
          <w:kern w:val="0"/>
          <w:sz w:val="24"/>
          <w:u w:val="none"/>
          <w:lang w:eastAsia="zh-CN"/>
        </w:rPr>
        <w:t>合同总</w:t>
      </w:r>
      <w:r>
        <w:rPr>
          <w:rFonts w:hint="eastAsia" w:ascii="宋体" w:hAnsi="宋体" w:cs="宋体"/>
          <w:color w:val="auto"/>
          <w:kern w:val="0"/>
          <w:sz w:val="24"/>
          <w:u w:val="none"/>
          <w:lang w:val="en-US" w:eastAsia="zh-CN"/>
        </w:rPr>
        <w:t>金额</w:t>
      </w:r>
      <w:r>
        <w:rPr>
          <w:rFonts w:hint="eastAsia" w:ascii="宋体" w:hAnsi="宋体" w:cs="宋体"/>
          <w:color w:val="auto"/>
          <w:kern w:val="0"/>
          <w:sz w:val="24"/>
          <w:u w:val="none"/>
          <w:lang w:eastAsia="zh-CN"/>
        </w:rPr>
        <w:t>为含税固定总价，已包含履行合同所需的全部费用，包括但不限于货物购置、运输、施工安装、质保及质保期维修等所有直接或间接费用。甲方（采购方）无需额外支付其他费用。</w:t>
      </w:r>
    </w:p>
    <w:p w14:paraId="6A868EAD">
      <w:pPr>
        <w:snapToGrid w:val="0"/>
        <w:spacing w:line="480" w:lineRule="auto"/>
        <w:ind w:firstLine="480" w:firstLineChars="200"/>
        <w:rPr>
          <w:rFonts w:hint="default" w:ascii="宋体" w:hAnsi="宋体" w:eastAsia="宋体" w:cs="宋体"/>
          <w:b w:val="0"/>
          <w:bCs w:val="0"/>
          <w:color w:val="auto"/>
          <w:kern w:val="0"/>
          <w:sz w:val="24"/>
          <w:u w:val="none"/>
          <w:lang w:val="en-US" w:eastAsia="zh-CN"/>
        </w:rPr>
      </w:pPr>
      <w:r>
        <w:rPr>
          <w:rFonts w:hint="eastAsia" w:ascii="宋体" w:hAnsi="宋体" w:cs="宋体"/>
          <w:b w:val="0"/>
          <w:bCs w:val="0"/>
          <w:color w:val="auto"/>
          <w:kern w:val="0"/>
          <w:sz w:val="24"/>
          <w:u w:val="none"/>
          <w:lang w:val="en-US" w:eastAsia="zh-CN"/>
        </w:rPr>
        <w:t>3、产品型号、数量、参数：</w:t>
      </w:r>
    </w:p>
    <w:p w14:paraId="25452714">
      <w:pPr>
        <w:spacing w:line="480" w:lineRule="auto"/>
        <w:ind w:firstLine="482" w:firstLineChars="200"/>
        <w:rPr>
          <w:rFonts w:ascii="宋体" w:hAnsi="宋体"/>
          <w:b/>
          <w:sz w:val="24"/>
        </w:rPr>
      </w:pPr>
      <w:r>
        <w:rPr>
          <w:rFonts w:hint="eastAsia" w:ascii="宋体" w:hAnsi="宋体"/>
          <w:b/>
          <w:sz w:val="24"/>
        </w:rPr>
        <w:t>第二条：付款条款</w:t>
      </w:r>
    </w:p>
    <w:p w14:paraId="0A56CB67">
      <w:pPr>
        <w:spacing w:line="480" w:lineRule="auto"/>
        <w:ind w:firstLine="480" w:firstLineChars="200"/>
        <w:rPr>
          <w:rFonts w:hint="eastAsia" w:ascii="宋体" w:hAnsi="宋体"/>
          <w:sz w:val="24"/>
        </w:rPr>
      </w:pPr>
      <w:r>
        <w:rPr>
          <w:rFonts w:hint="eastAsia" w:ascii="宋体" w:hAnsi="宋体"/>
          <w:sz w:val="24"/>
        </w:rPr>
        <w:t>本合同双方签订生效后，乙方开具相应合规发票给甲方后，甲方须向乙方支付合同金额的50%，即（￥：   元整，大写：元  整）；甲方支付预付款后，乙方应立即备货进场施工，施工期大概为20天（非人为因素影响除外）。</w:t>
      </w:r>
    </w:p>
    <w:p w14:paraId="76F42343">
      <w:pPr>
        <w:spacing w:line="480" w:lineRule="auto"/>
        <w:ind w:firstLine="480" w:firstLineChars="200"/>
        <w:rPr>
          <w:rFonts w:hint="eastAsia" w:ascii="宋体" w:hAnsi="宋体"/>
          <w:sz w:val="24"/>
        </w:rPr>
      </w:pPr>
      <w:r>
        <w:rPr>
          <w:rFonts w:hint="eastAsia" w:ascii="宋体" w:hAnsi="宋体"/>
          <w:sz w:val="24"/>
        </w:rPr>
        <w:t>所有合同约定的工程施工完毕后，甲方应在（）天内组织调试验收。</w:t>
      </w:r>
    </w:p>
    <w:p w14:paraId="733876AB">
      <w:pPr>
        <w:spacing w:line="480" w:lineRule="auto"/>
        <w:ind w:firstLine="480" w:firstLineChars="200"/>
        <w:rPr>
          <w:rFonts w:ascii="宋体" w:hAnsi="宋体"/>
          <w:sz w:val="24"/>
        </w:rPr>
      </w:pPr>
      <w:r>
        <w:rPr>
          <w:rFonts w:hint="eastAsia" w:ascii="宋体" w:hAnsi="宋体"/>
          <w:sz w:val="24"/>
        </w:rPr>
        <w:t>甲方验收合格后应签收验收合格证明，乙方凭验收合格证明以及相应合规发票向甲方申请付款。甲方收到付款申请后，在30个工作日内向乙方支付至合同工程总费用的100%（￥：   元整，大写：元  整）。</w:t>
      </w:r>
    </w:p>
    <w:p w14:paraId="0D53713C">
      <w:pPr>
        <w:spacing w:line="480" w:lineRule="auto"/>
        <w:ind w:firstLine="482" w:firstLineChars="200"/>
        <w:rPr>
          <w:rFonts w:ascii="宋体" w:hAnsi="宋体"/>
          <w:b/>
          <w:sz w:val="24"/>
        </w:rPr>
      </w:pPr>
      <w:r>
        <w:rPr>
          <w:rFonts w:hint="eastAsia" w:ascii="宋体" w:hAnsi="宋体"/>
          <w:b/>
          <w:sz w:val="24"/>
        </w:rPr>
        <w:t>第三条：产品质量及维护</w:t>
      </w:r>
    </w:p>
    <w:p w14:paraId="1B613B6E">
      <w:pPr>
        <w:spacing w:line="480" w:lineRule="auto"/>
        <w:ind w:firstLine="480" w:firstLineChars="200"/>
        <w:rPr>
          <w:rFonts w:ascii="宋体" w:hAnsi="宋体"/>
          <w:sz w:val="24"/>
        </w:rPr>
      </w:pPr>
      <w:r>
        <w:rPr>
          <w:rFonts w:hint="eastAsia" w:ascii="宋体" w:hAnsi="宋体"/>
          <w:sz w:val="24"/>
        </w:rPr>
        <w:t>乙方对本合同产品，提供</w:t>
      </w:r>
      <w:r>
        <w:rPr>
          <w:rFonts w:hint="eastAsia" w:ascii="宋体" w:hAnsi="宋体"/>
          <w:color w:val="auto"/>
          <w:sz w:val="24"/>
        </w:rPr>
        <w:t xml:space="preserve"> </w:t>
      </w:r>
      <w:r>
        <w:rPr>
          <w:rFonts w:hint="eastAsia" w:ascii="宋体" w:hAnsi="宋体"/>
          <w:color w:val="auto"/>
          <w:sz w:val="24"/>
          <w:lang w:val="en-US" w:eastAsia="zh-CN"/>
        </w:rPr>
        <w:t>贰</w:t>
      </w:r>
      <w:bookmarkStart w:id="2" w:name="_GoBack"/>
      <w:bookmarkEnd w:id="2"/>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sz w:val="24"/>
        </w:rPr>
        <w:t>（</w:t>
      </w:r>
      <w:r>
        <w:rPr>
          <w:rFonts w:hint="eastAsia" w:ascii="宋体" w:hAnsi="宋体"/>
          <w:sz w:val="24"/>
          <w:lang w:eastAsia="zh-CN"/>
        </w:rPr>
        <w:t>安装完成</w:t>
      </w:r>
      <w:r>
        <w:rPr>
          <w:rFonts w:hint="eastAsia" w:ascii="宋体" w:hAnsi="宋体"/>
          <w:sz w:val="24"/>
        </w:rPr>
        <w:t>后</w:t>
      </w:r>
      <w:r>
        <w:rPr>
          <w:rFonts w:hint="eastAsia" w:ascii="宋体" w:hAnsi="宋体"/>
          <w:sz w:val="24"/>
          <w:lang w:val="en-US" w:eastAsia="zh-CN"/>
        </w:rPr>
        <w:t>24</w:t>
      </w:r>
      <w:r>
        <w:rPr>
          <w:rFonts w:hint="eastAsia" w:ascii="宋体" w:hAnsi="宋体"/>
          <w:sz w:val="24"/>
        </w:rPr>
        <w:t>个月）免费保修，终身免费维护（免费保修期后的设备维修零件成本费用另计）。人为因素、不可抗力、使用不当等因素造成的损失除外。</w:t>
      </w:r>
    </w:p>
    <w:p w14:paraId="55CBD13D">
      <w:pPr>
        <w:spacing w:line="480" w:lineRule="auto"/>
        <w:ind w:firstLine="480" w:firstLineChars="200"/>
        <w:rPr>
          <w:rFonts w:ascii="宋体" w:hAnsi="宋体"/>
          <w:sz w:val="24"/>
        </w:rPr>
      </w:pPr>
      <w:r>
        <w:rPr>
          <w:rFonts w:hint="eastAsia" w:ascii="宋体" w:hAnsi="宋体"/>
          <w:sz w:val="24"/>
        </w:rPr>
        <w:t>接到甲方维护电话，乙方4小时之内响应，一般故障6小时内解决，解决不了的问题在24小时内拿出解决方案并采用代替的方式先更换后维修的方式处理，节假日则约定在48小时内必须解决（不可抗力造成的延期除外）。</w:t>
      </w:r>
    </w:p>
    <w:p w14:paraId="4B571D94">
      <w:pPr>
        <w:spacing w:line="480" w:lineRule="auto"/>
        <w:ind w:firstLine="480" w:firstLineChars="200"/>
        <w:rPr>
          <w:rFonts w:ascii="宋体" w:hAnsi="宋体"/>
          <w:sz w:val="24"/>
        </w:rPr>
      </w:pPr>
      <w:r>
        <w:rPr>
          <w:rFonts w:hint="eastAsia" w:ascii="宋体" w:hAnsi="宋体"/>
          <w:sz w:val="24"/>
        </w:rPr>
        <w:t>保修期满后签订维护协议，协议内容根据当时市场行情报价议定。</w:t>
      </w:r>
    </w:p>
    <w:p w14:paraId="052CEC9D">
      <w:pPr>
        <w:spacing w:line="480" w:lineRule="auto"/>
        <w:ind w:firstLine="482" w:firstLineChars="200"/>
        <w:rPr>
          <w:rFonts w:ascii="宋体" w:hAnsi="宋体"/>
          <w:b/>
          <w:sz w:val="24"/>
        </w:rPr>
      </w:pPr>
      <w:r>
        <w:rPr>
          <w:rFonts w:hint="eastAsia" w:ascii="宋体" w:hAnsi="宋体"/>
          <w:b/>
          <w:sz w:val="24"/>
        </w:rPr>
        <w:t>第四条：安装、调试、验收、运输</w:t>
      </w:r>
    </w:p>
    <w:p w14:paraId="08243755">
      <w:pPr>
        <w:spacing w:line="480" w:lineRule="auto"/>
        <w:ind w:firstLine="480" w:firstLineChars="200"/>
        <w:rPr>
          <w:rFonts w:ascii="宋体" w:hAnsi="宋体"/>
          <w:sz w:val="24"/>
        </w:rPr>
      </w:pPr>
      <w:r>
        <w:rPr>
          <w:rFonts w:hint="eastAsia" w:ascii="宋体" w:hAnsi="宋体"/>
          <w:sz w:val="24"/>
        </w:rPr>
        <w:t>合同产品的运输方式为物流，运输费用由乙方承担。</w:t>
      </w:r>
    </w:p>
    <w:p w14:paraId="3B133905">
      <w:pPr>
        <w:spacing w:line="480" w:lineRule="auto"/>
        <w:ind w:firstLine="480" w:firstLineChars="200"/>
        <w:rPr>
          <w:rFonts w:ascii="宋体" w:hAnsi="宋体"/>
          <w:sz w:val="24"/>
        </w:rPr>
      </w:pPr>
      <w:r>
        <w:rPr>
          <w:rFonts w:hint="eastAsia" w:ascii="宋体" w:hAnsi="宋体"/>
          <w:sz w:val="24"/>
        </w:rPr>
        <w:t>双方签订合同，乙方收到甲方合同中约定的相关款项后，在</w:t>
      </w:r>
      <w:r>
        <w:rPr>
          <w:rFonts w:hint="eastAsia" w:ascii="宋体" w:hAnsi="宋体"/>
          <w:sz w:val="24"/>
          <w:u w:val="single"/>
        </w:rPr>
        <w:t xml:space="preserve">  </w:t>
      </w:r>
      <w:r>
        <w:rPr>
          <w:rFonts w:hint="eastAsia" w:ascii="宋体" w:hAnsi="宋体"/>
          <w:sz w:val="24"/>
        </w:rPr>
        <w:t>天内设备到位施工完成。甲方须指派电工及本项目所需要的相关人员给予配合告知乙方取电位置，岗亭及安全岛强电应由乙方自行牵入至道闸及设备位置。</w:t>
      </w:r>
    </w:p>
    <w:p w14:paraId="2A80C4AB">
      <w:pPr>
        <w:spacing w:line="480" w:lineRule="auto"/>
        <w:ind w:firstLine="480" w:firstLineChars="200"/>
        <w:rPr>
          <w:rFonts w:ascii="宋体" w:hAnsi="宋体"/>
          <w:sz w:val="24"/>
        </w:rPr>
      </w:pPr>
      <w:r>
        <w:rPr>
          <w:rFonts w:hint="eastAsia" w:ascii="宋体" w:hAnsi="宋体"/>
          <w:sz w:val="24"/>
        </w:rPr>
        <w:t>本合同规定的产品安装调试完毕运行7日无质量问题后，甲方须在收到乙方验收通知后7日内派代表对项目进行验收，如合同产品都运行正常，数据准确，本合同产品被认为验收合格。</w:t>
      </w:r>
    </w:p>
    <w:p w14:paraId="2F5F653F">
      <w:pPr>
        <w:spacing w:line="480" w:lineRule="auto"/>
        <w:ind w:firstLine="482" w:firstLineChars="200"/>
        <w:rPr>
          <w:rFonts w:ascii="宋体" w:hAnsi="宋体"/>
          <w:b/>
          <w:sz w:val="24"/>
        </w:rPr>
      </w:pPr>
      <w:r>
        <w:rPr>
          <w:rFonts w:hint="eastAsia" w:ascii="宋体" w:hAnsi="宋体"/>
          <w:b/>
          <w:sz w:val="24"/>
        </w:rPr>
        <w:t>第五条：培训条款</w:t>
      </w:r>
    </w:p>
    <w:p w14:paraId="0B332776">
      <w:pPr>
        <w:spacing w:line="480" w:lineRule="auto"/>
        <w:ind w:firstLine="480" w:firstLineChars="200"/>
        <w:rPr>
          <w:rFonts w:ascii="宋体" w:hAnsi="宋体"/>
          <w:sz w:val="24"/>
        </w:rPr>
      </w:pPr>
      <w:r>
        <w:rPr>
          <w:rFonts w:hint="eastAsia" w:ascii="宋体" w:hAnsi="宋体"/>
          <w:sz w:val="24"/>
        </w:rPr>
        <w:t>乙方统一安排时间培训甲方指定操作人员，培训内容包括设备的日常维护及常见故障的处理方法，培训次数为三次以内</w:t>
      </w:r>
      <w:r>
        <w:rPr>
          <w:rFonts w:hint="eastAsia" w:ascii="宋体" w:hAnsi="宋体"/>
          <w:sz w:val="24"/>
          <w:lang w:val="en-US" w:eastAsia="zh-CN"/>
        </w:rPr>
        <w:t>(</w:t>
      </w:r>
      <w:r>
        <w:rPr>
          <w:rFonts w:hint="eastAsia" w:ascii="宋体" w:hAnsi="宋体"/>
          <w:sz w:val="24"/>
        </w:rPr>
        <w:t>含三次</w:t>
      </w:r>
      <w:r>
        <w:rPr>
          <w:rFonts w:hint="eastAsia" w:ascii="宋体" w:hAnsi="宋体"/>
          <w:sz w:val="24"/>
          <w:lang w:val="en-US" w:eastAsia="zh-CN"/>
        </w:rPr>
        <w:t>)</w:t>
      </w:r>
      <w:r>
        <w:rPr>
          <w:rFonts w:hint="eastAsia" w:ascii="宋体" w:hAnsi="宋体"/>
          <w:sz w:val="24"/>
        </w:rPr>
        <w:t>，乙方必须保障甲方操作人员学会操作。</w:t>
      </w:r>
    </w:p>
    <w:p w14:paraId="445078AC">
      <w:pPr>
        <w:spacing w:line="480" w:lineRule="auto"/>
        <w:ind w:firstLine="482" w:firstLineChars="200"/>
        <w:rPr>
          <w:rFonts w:ascii="宋体" w:hAnsi="宋体"/>
          <w:b/>
          <w:sz w:val="24"/>
        </w:rPr>
      </w:pPr>
      <w:r>
        <w:rPr>
          <w:rFonts w:hint="eastAsia" w:ascii="宋体" w:hAnsi="宋体"/>
          <w:b/>
          <w:sz w:val="24"/>
        </w:rPr>
        <w:t>第六条：不可抗力</w:t>
      </w:r>
    </w:p>
    <w:p w14:paraId="0EA932C7">
      <w:pPr>
        <w:spacing w:line="480" w:lineRule="auto"/>
        <w:ind w:firstLine="480" w:firstLineChars="200"/>
        <w:rPr>
          <w:rFonts w:ascii="宋体" w:hAnsi="宋体"/>
          <w:sz w:val="24"/>
        </w:rPr>
      </w:pPr>
      <w:r>
        <w:rPr>
          <w:rFonts w:hint="eastAsia" w:ascii="宋体" w:hAnsi="宋体"/>
          <w:sz w:val="24"/>
        </w:rPr>
        <w:t>甲乙双方任何一方在履行合同过程中，由于不可抗力导致不能按期履行，应及时将发生不可抗力的情况通知对方，并对履行合同事宜进行协商；任何一方不得以此为由拒绝履行或单方修改合同。</w:t>
      </w:r>
    </w:p>
    <w:p w14:paraId="76A814C5">
      <w:pPr>
        <w:spacing w:line="480" w:lineRule="auto"/>
        <w:ind w:firstLine="482" w:firstLineChars="200"/>
        <w:rPr>
          <w:rFonts w:ascii="宋体" w:hAnsi="宋体"/>
          <w:b/>
          <w:sz w:val="24"/>
        </w:rPr>
      </w:pPr>
      <w:r>
        <w:rPr>
          <w:rFonts w:hint="eastAsia" w:ascii="宋体" w:hAnsi="宋体"/>
          <w:b/>
          <w:sz w:val="24"/>
        </w:rPr>
        <w:t>第七条：违约责任</w:t>
      </w:r>
    </w:p>
    <w:p w14:paraId="4A76C078">
      <w:pPr>
        <w:spacing w:line="480" w:lineRule="auto"/>
        <w:ind w:firstLine="480" w:firstLineChars="200"/>
        <w:rPr>
          <w:rFonts w:hint="eastAsia" w:ascii="宋体" w:hAnsi="宋体"/>
          <w:sz w:val="24"/>
        </w:rPr>
      </w:pPr>
      <w:r>
        <w:rPr>
          <w:rFonts w:hint="eastAsia" w:ascii="宋体" w:hAnsi="宋体"/>
          <w:sz w:val="24"/>
        </w:rPr>
        <w:t>甲乙双方必须全面履行合同，双方不得违约。若有违约，违约方须按《中华人民共和国合同法》和有关法律规定承担相应的经济责任。</w:t>
      </w:r>
    </w:p>
    <w:p w14:paraId="77365A5D">
      <w:pPr>
        <w:spacing w:line="480" w:lineRule="auto"/>
        <w:ind w:firstLine="480" w:firstLineChars="200"/>
        <w:rPr>
          <w:rFonts w:hint="eastAsia" w:ascii="宋体" w:hAnsi="宋体"/>
          <w:sz w:val="24"/>
        </w:rPr>
      </w:pPr>
      <w:r>
        <w:rPr>
          <w:rFonts w:hint="eastAsia" w:ascii="宋体" w:hAnsi="宋体"/>
          <w:sz w:val="24"/>
        </w:rPr>
        <w:t>甲乙双方须全面履行合同，违约方承担以下责任：乙方交付产品不符约定的，未在5日内免费更换合格的，甲方可退货并按该批金额10%索赔，或扣减合同款20%；因乙方原因逾期完工的，每日按合同总价0.1%支付违约金，逾期超15日甲方可解除合同，乙方付5%违约金并赔偿损失；乙方维保不到位的，未在3日内整改的，首次扣20%当期维保费，累计2次扣50%并付1%违约金，累计3次甲方可退维保费并付2%违约金。</w:t>
      </w:r>
    </w:p>
    <w:p w14:paraId="066048BB">
      <w:pPr>
        <w:spacing w:line="480" w:lineRule="auto"/>
        <w:ind w:firstLine="482" w:firstLineChars="200"/>
        <w:rPr>
          <w:rFonts w:ascii="宋体" w:hAnsi="宋体"/>
          <w:b/>
          <w:sz w:val="24"/>
        </w:rPr>
      </w:pPr>
      <w:r>
        <w:rPr>
          <w:rFonts w:hint="eastAsia" w:ascii="宋体" w:hAnsi="宋体"/>
          <w:b/>
          <w:sz w:val="24"/>
        </w:rPr>
        <w:t>第八条：争议解决</w:t>
      </w:r>
    </w:p>
    <w:p w14:paraId="709ABD16">
      <w:pPr>
        <w:spacing w:line="480" w:lineRule="auto"/>
        <w:ind w:firstLine="480" w:firstLineChars="200"/>
        <w:rPr>
          <w:rFonts w:ascii="宋体" w:hAnsi="宋体"/>
          <w:sz w:val="24"/>
        </w:rPr>
      </w:pPr>
      <w:r>
        <w:rPr>
          <w:rFonts w:hint="eastAsia" w:ascii="宋体" w:hAnsi="宋体"/>
          <w:sz w:val="24"/>
        </w:rPr>
        <w:t>凡执行本合同所发生的一切争议，双方应友好协商解决，双方如不能协商解决时，应向甲方所在地人民法院提出诉讼。</w:t>
      </w:r>
    </w:p>
    <w:p w14:paraId="252CBCC6">
      <w:pPr>
        <w:spacing w:line="480" w:lineRule="auto"/>
        <w:ind w:firstLine="482" w:firstLineChars="200"/>
        <w:rPr>
          <w:rFonts w:ascii="宋体" w:hAnsi="宋体"/>
          <w:b/>
          <w:sz w:val="24"/>
        </w:rPr>
      </w:pPr>
      <w:r>
        <w:rPr>
          <w:rFonts w:hint="eastAsia" w:ascii="宋体" w:hAnsi="宋体"/>
          <w:b/>
          <w:sz w:val="24"/>
        </w:rPr>
        <w:t>第九条：合同生效条件</w:t>
      </w:r>
    </w:p>
    <w:p w14:paraId="32AA5459">
      <w:pPr>
        <w:spacing w:line="480" w:lineRule="auto"/>
        <w:ind w:firstLine="480" w:firstLineChars="200"/>
        <w:rPr>
          <w:rFonts w:ascii="宋体" w:hAnsi="宋体"/>
          <w:sz w:val="24"/>
        </w:rPr>
      </w:pPr>
      <w:r>
        <w:rPr>
          <w:rFonts w:hint="eastAsia" w:ascii="宋体" w:hAnsi="宋体"/>
          <w:sz w:val="24"/>
        </w:rPr>
        <w:t>本合同经甲乙双方授权代表签字、并加盖公章或合同章后生效。本合同一式</w:t>
      </w:r>
      <w:r>
        <w:rPr>
          <w:rFonts w:hint="eastAsia" w:ascii="宋体" w:hAnsi="宋体"/>
          <w:sz w:val="24"/>
          <w:lang w:val="en-US" w:eastAsia="zh-CN"/>
        </w:rPr>
        <w:t>陆</w:t>
      </w:r>
      <w:r>
        <w:rPr>
          <w:rFonts w:hint="eastAsia" w:ascii="宋体" w:hAnsi="宋体"/>
          <w:sz w:val="24"/>
        </w:rPr>
        <w:t>份，</w:t>
      </w:r>
      <w:r>
        <w:rPr>
          <w:rFonts w:hint="eastAsia" w:ascii="宋体" w:hAnsi="宋体"/>
          <w:sz w:val="24"/>
          <w:lang w:eastAsia="zh-CN"/>
        </w:rPr>
        <w:t>甲方</w:t>
      </w:r>
      <w:r>
        <w:rPr>
          <w:rFonts w:hint="eastAsia" w:ascii="宋体" w:hAnsi="宋体"/>
          <w:sz w:val="24"/>
        </w:rPr>
        <w:t>执</w:t>
      </w:r>
      <w:r>
        <w:rPr>
          <w:rFonts w:hint="eastAsia" w:ascii="宋体" w:hAnsi="宋体"/>
          <w:sz w:val="24"/>
          <w:lang w:val="en-US" w:eastAsia="zh-CN"/>
        </w:rPr>
        <w:t>肆</w:t>
      </w:r>
      <w:r>
        <w:rPr>
          <w:rFonts w:hint="eastAsia" w:ascii="宋体" w:hAnsi="宋体"/>
          <w:sz w:val="24"/>
        </w:rPr>
        <w:t>份</w:t>
      </w:r>
      <w:r>
        <w:rPr>
          <w:rFonts w:hint="eastAsia" w:ascii="宋体" w:hAnsi="宋体"/>
          <w:sz w:val="24"/>
          <w:lang w:eastAsia="zh-CN"/>
        </w:rPr>
        <w:t>，乙方执贰份</w:t>
      </w:r>
      <w:r>
        <w:rPr>
          <w:rFonts w:hint="eastAsia" w:ascii="宋体" w:hAnsi="宋体"/>
          <w:sz w:val="24"/>
        </w:rPr>
        <w:t>。</w:t>
      </w:r>
    </w:p>
    <w:p w14:paraId="04E436C6">
      <w:pPr>
        <w:numPr>
          <w:ilvl w:val="0"/>
          <w:numId w:val="6"/>
        </w:numPr>
        <w:spacing w:line="480" w:lineRule="auto"/>
        <w:ind w:firstLine="482" w:firstLineChars="200"/>
        <w:rPr>
          <w:rFonts w:ascii="宋体" w:hAnsi="宋体"/>
          <w:b/>
          <w:sz w:val="24"/>
        </w:rPr>
      </w:pPr>
      <w:r>
        <w:rPr>
          <w:rFonts w:hint="eastAsia" w:ascii="宋体" w:hAnsi="宋体"/>
          <w:b/>
          <w:sz w:val="24"/>
        </w:rPr>
        <w:t>：其他条款</w:t>
      </w:r>
    </w:p>
    <w:p w14:paraId="17265FCD">
      <w:pPr>
        <w:spacing w:line="480" w:lineRule="auto"/>
        <w:rPr>
          <w:rFonts w:ascii="宋体" w:hAnsi="宋体"/>
          <w:b/>
          <w:sz w:val="24"/>
        </w:rPr>
      </w:pPr>
      <w:r>
        <w:rPr>
          <w:rFonts w:hint="eastAsia" w:ascii="宋体" w:hAnsi="宋体"/>
          <w:sz w:val="24"/>
        </w:rPr>
        <w:t xml:space="preserve">    未经双方许可，任何一方不能将有关本合同的相关事宜透露给第三者；违者将追究其给另一方所造成的直接经济损失并承担相应的法律责任。</w:t>
      </w:r>
    </w:p>
    <w:tbl>
      <w:tblPr>
        <w:tblStyle w:val="14"/>
        <w:tblpPr w:leftFromText="180" w:rightFromText="180" w:vertAnchor="text" w:horzAnchor="page" w:tblpX="1050" w:tblpY="1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4"/>
        <w:gridCol w:w="5134"/>
      </w:tblGrid>
      <w:tr w14:paraId="6CE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shd w:val="clear" w:color="auto" w:fill="D9D9D9"/>
            <w:noWrap w:val="0"/>
            <w:vAlign w:val="center"/>
          </w:tcPr>
          <w:p w14:paraId="7FB83FB9">
            <w:pPr>
              <w:spacing w:line="400" w:lineRule="exact"/>
              <w:ind w:firstLine="422"/>
              <w:jc w:val="center"/>
              <w:rPr>
                <w:rFonts w:ascii="宋体" w:hAnsi="宋体"/>
                <w:bCs/>
                <w:sz w:val="24"/>
              </w:rPr>
            </w:pPr>
            <w:r>
              <w:rPr>
                <w:rFonts w:hint="eastAsia" w:ascii="宋体" w:hAnsi="宋体"/>
                <w:bCs/>
                <w:sz w:val="24"/>
              </w:rPr>
              <w:t>甲方（盖章）</w:t>
            </w:r>
          </w:p>
        </w:tc>
        <w:tc>
          <w:tcPr>
            <w:tcW w:w="5134" w:type="dxa"/>
            <w:shd w:val="clear" w:color="auto" w:fill="D9D9D9"/>
            <w:noWrap w:val="0"/>
            <w:vAlign w:val="center"/>
          </w:tcPr>
          <w:p w14:paraId="3ECEC92B">
            <w:pPr>
              <w:spacing w:line="400" w:lineRule="exact"/>
              <w:ind w:firstLine="422"/>
              <w:jc w:val="center"/>
              <w:rPr>
                <w:rFonts w:ascii="宋体" w:hAnsi="宋体"/>
                <w:bCs/>
                <w:sz w:val="24"/>
              </w:rPr>
            </w:pPr>
            <w:r>
              <w:rPr>
                <w:rFonts w:hint="eastAsia" w:ascii="宋体" w:hAnsi="宋体"/>
                <w:bCs/>
                <w:sz w:val="24"/>
              </w:rPr>
              <w:t>乙方（盖章）</w:t>
            </w:r>
          </w:p>
        </w:tc>
      </w:tr>
      <w:tr w14:paraId="3673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5464" w:type="dxa"/>
            <w:noWrap w:val="0"/>
            <w:vAlign w:val="top"/>
          </w:tcPr>
          <w:p w14:paraId="14B5CCFC">
            <w:pPr>
              <w:spacing w:before="286" w:beforeLines="100" w:line="480" w:lineRule="auto"/>
              <w:rPr>
                <w:rFonts w:ascii="宋体" w:hAnsi="宋体"/>
                <w:bCs/>
                <w:szCs w:val="21"/>
              </w:rPr>
            </w:pPr>
            <w:r>
              <w:rPr>
                <w:rFonts w:hint="eastAsia" w:ascii="宋体" w:hAnsi="宋体"/>
                <w:bCs/>
                <w:szCs w:val="21"/>
              </w:rPr>
              <w:t>全  称：</w:t>
            </w:r>
            <w:r>
              <w:rPr>
                <w:rFonts w:hint="eastAsia" w:ascii="宋体" w:hAnsi="宋体"/>
                <w:b/>
                <w:sz w:val="24"/>
              </w:rPr>
              <w:t>南方医科大学中西医结合医院</w:t>
            </w:r>
          </w:p>
          <w:p w14:paraId="274C08CC">
            <w:pPr>
              <w:rPr>
                <w:rFonts w:ascii="宋体" w:hAnsi="宋体"/>
                <w:bCs/>
                <w:szCs w:val="21"/>
              </w:rPr>
            </w:pPr>
            <w:r>
              <w:rPr>
                <w:rFonts w:hint="eastAsia" w:ascii="宋体" w:hAnsi="宋体"/>
                <w:bCs/>
                <w:szCs w:val="21"/>
              </w:rPr>
              <w:t>地  址：</w:t>
            </w:r>
            <w:r>
              <w:rPr>
                <w:rFonts w:hint="eastAsia" w:ascii="微软雅黑" w:hAnsi="微软雅黑" w:eastAsia="微软雅黑" w:cs="微软雅黑"/>
                <w:szCs w:val="21"/>
              </w:rPr>
              <w:t>广州市海珠区石榴岗路13号大院</w:t>
            </w:r>
          </w:p>
          <w:p w14:paraId="215E494F">
            <w:pPr>
              <w:spacing w:before="286" w:beforeLines="100" w:line="480" w:lineRule="auto"/>
              <w:rPr>
                <w:rFonts w:ascii="宋体" w:hAnsi="宋体"/>
                <w:szCs w:val="21"/>
              </w:rPr>
            </w:pPr>
            <w:r>
              <w:rPr>
                <w:rFonts w:hint="eastAsia" w:ascii="宋体" w:hAnsi="宋体"/>
                <w:bCs/>
                <w:szCs w:val="21"/>
              </w:rPr>
              <w:t>电  话：</w:t>
            </w:r>
            <w:r>
              <w:rPr>
                <w:rFonts w:hint="eastAsia" w:ascii="微软雅黑" w:hAnsi="微软雅黑" w:eastAsia="微软雅黑" w:cs="微软雅黑"/>
                <w:szCs w:val="21"/>
              </w:rPr>
              <w:t>020-61650065</w:t>
            </w:r>
          </w:p>
          <w:p w14:paraId="57F685B2">
            <w:pPr>
              <w:spacing w:before="286" w:beforeLines="100" w:line="480" w:lineRule="auto"/>
              <w:rPr>
                <w:rFonts w:ascii="宋体" w:hAnsi="宋体"/>
                <w:bCs/>
                <w:szCs w:val="21"/>
              </w:rPr>
            </w:pPr>
            <w:r>
              <w:rPr>
                <w:rFonts w:hint="eastAsia" w:ascii="宋体" w:hAnsi="宋体"/>
                <w:bCs/>
                <w:szCs w:val="21"/>
              </w:rPr>
              <w:t>签约代表：              日期：</w:t>
            </w:r>
          </w:p>
        </w:tc>
        <w:tc>
          <w:tcPr>
            <w:tcW w:w="5134" w:type="dxa"/>
            <w:noWrap w:val="0"/>
            <w:vAlign w:val="top"/>
          </w:tcPr>
          <w:p w14:paraId="4B5F1F49">
            <w:pPr>
              <w:spacing w:before="286" w:beforeLines="100" w:line="480" w:lineRule="auto"/>
              <w:jc w:val="left"/>
              <w:rPr>
                <w:rFonts w:hint="eastAsia" w:ascii="宋体" w:hAnsi="宋体" w:eastAsia="宋体"/>
                <w:b/>
                <w:bCs w:val="0"/>
                <w:sz w:val="24"/>
                <w:szCs w:val="24"/>
                <w:lang w:eastAsia="zh-CN"/>
              </w:rPr>
            </w:pPr>
            <w:r>
              <w:rPr>
                <w:rFonts w:hint="eastAsia" w:ascii="宋体" w:hAnsi="宋体"/>
                <w:bCs/>
                <w:szCs w:val="21"/>
              </w:rPr>
              <w:t>全  称：</w:t>
            </w:r>
            <w:r>
              <w:rPr>
                <w:rFonts w:hint="eastAsia" w:ascii="宋体" w:hAnsi="宋体"/>
                <w:b/>
                <w:bCs w:val="0"/>
                <w:sz w:val="24"/>
                <w:szCs w:val="24"/>
              </w:rPr>
              <w:t xml:space="preserve"> </w:t>
            </w:r>
          </w:p>
          <w:p w14:paraId="7A14EB36">
            <w:pPr>
              <w:spacing w:before="100" w:line="480" w:lineRule="auto"/>
              <w:ind w:left="3570" w:hanging="3570" w:hangingChars="1700"/>
              <w:jc w:val="left"/>
              <w:rPr>
                <w:rFonts w:ascii="宋体" w:hAnsi="宋体"/>
                <w:bCs/>
                <w:szCs w:val="21"/>
              </w:rPr>
            </w:pPr>
            <w:r>
              <w:rPr>
                <w:rFonts w:hint="eastAsia" w:ascii="宋体" w:hAnsi="宋体"/>
                <w:bCs/>
                <w:szCs w:val="21"/>
              </w:rPr>
              <w:t>地  址：</w:t>
            </w:r>
          </w:p>
          <w:p w14:paraId="0D2E59BB">
            <w:pPr>
              <w:spacing w:before="100" w:line="480" w:lineRule="auto"/>
              <w:jc w:val="left"/>
              <w:rPr>
                <w:rFonts w:ascii="宋体" w:hAnsi="宋体"/>
                <w:bCs/>
                <w:szCs w:val="21"/>
              </w:rPr>
            </w:pPr>
            <w:r>
              <w:rPr>
                <w:rFonts w:hint="eastAsia" w:ascii="宋体" w:hAnsi="宋体"/>
                <w:bCs/>
                <w:szCs w:val="21"/>
              </w:rPr>
              <w:t>电  话：        联系人：</w:t>
            </w:r>
            <w:r>
              <w:rPr>
                <w:rFonts w:ascii="宋体" w:hAnsi="宋体"/>
                <w:bCs/>
                <w:szCs w:val="21"/>
              </w:rPr>
              <w:t xml:space="preserve"> </w:t>
            </w:r>
          </w:p>
          <w:p w14:paraId="5DA93D56">
            <w:pPr>
              <w:spacing w:before="100" w:line="480" w:lineRule="auto"/>
              <w:jc w:val="left"/>
              <w:rPr>
                <w:rFonts w:ascii="宋体" w:hAnsi="宋体"/>
                <w:szCs w:val="21"/>
              </w:rPr>
            </w:pPr>
            <w:r>
              <w:rPr>
                <w:rFonts w:hint="eastAsia" w:ascii="宋体" w:hAnsi="宋体"/>
                <w:bCs/>
                <w:szCs w:val="21"/>
              </w:rPr>
              <w:t xml:space="preserve">收款人： </w:t>
            </w:r>
          </w:p>
          <w:p w14:paraId="7DDB94E3">
            <w:pPr>
              <w:spacing w:before="100" w:line="480" w:lineRule="auto"/>
              <w:jc w:val="left"/>
              <w:rPr>
                <w:rFonts w:hint="default" w:ascii="宋体" w:hAnsi="宋体" w:eastAsia="宋体"/>
                <w:bCs/>
                <w:color w:val="FF0000"/>
                <w:sz w:val="30"/>
                <w:szCs w:val="30"/>
                <w:lang w:val="en-US" w:eastAsia="zh-CN"/>
              </w:rPr>
            </w:pPr>
            <w:r>
              <w:rPr>
                <w:rFonts w:hint="eastAsia" w:ascii="宋体" w:hAnsi="宋体"/>
                <w:szCs w:val="21"/>
              </w:rPr>
              <w:t>帐  号：</w:t>
            </w:r>
          </w:p>
          <w:p w14:paraId="48B3CE59">
            <w:pPr>
              <w:spacing w:before="100" w:line="480" w:lineRule="auto"/>
              <w:jc w:val="left"/>
              <w:rPr>
                <w:rFonts w:ascii="宋体" w:hAnsi="宋体"/>
                <w:bCs/>
                <w:szCs w:val="21"/>
              </w:rPr>
            </w:pPr>
            <w:r>
              <w:rPr>
                <w:rFonts w:hint="eastAsia" w:ascii="宋体" w:hAnsi="宋体"/>
                <w:bCs/>
                <w:szCs w:val="21"/>
              </w:rPr>
              <w:t>签约代表：              日期：</w:t>
            </w:r>
          </w:p>
        </w:tc>
      </w:tr>
    </w:tbl>
    <w:p w14:paraId="2690F898">
      <w:pPr>
        <w:spacing w:line="480" w:lineRule="auto"/>
        <w:ind w:firstLine="480" w:firstLineChars="200"/>
        <w:rPr>
          <w:rFonts w:ascii="宋体" w:hAnsi="宋体"/>
          <w:bCs/>
          <w:sz w:val="24"/>
        </w:rPr>
      </w:pPr>
      <w:r>
        <w:rPr>
          <w:rFonts w:hint="eastAsia" w:ascii="宋体" w:hAnsi="宋体"/>
          <w:sz w:val="24"/>
        </w:rPr>
        <w:t>本合同</w:t>
      </w:r>
      <w:r>
        <w:rPr>
          <w:rFonts w:hint="eastAsia" w:ascii="宋体" w:hAnsi="宋体"/>
          <w:bCs/>
          <w:sz w:val="24"/>
        </w:rPr>
        <w:t>附件为本合同不可分割的组成部分，具有相同法律效应。</w:t>
      </w:r>
    </w:p>
    <w:p w14:paraId="326DA0DC"/>
    <w:p w14:paraId="37705D50"/>
    <w:p w14:paraId="766A376A">
      <w:pPr>
        <w:rPr>
          <w:rFonts w:hint="eastAsia"/>
          <w:lang w:eastAsia="zh-CN"/>
        </w:rPr>
      </w:pPr>
    </w:p>
    <w:p w14:paraId="0DEA63E5">
      <w:pPr>
        <w:rPr>
          <w:rFonts w:hint="eastAsia"/>
          <w:lang w:eastAsia="zh-CN"/>
        </w:rPr>
      </w:pPr>
    </w:p>
    <w:p w14:paraId="5ED92609">
      <w:pPr>
        <w:rPr>
          <w:rFonts w:hint="eastAsia"/>
          <w:lang w:eastAsia="zh-CN"/>
        </w:rPr>
      </w:pPr>
    </w:p>
    <w:p w14:paraId="7F6E3D39">
      <w:pPr>
        <w:spacing w:line="336" w:lineRule="auto"/>
        <w:rPr>
          <w:rFonts w:hint="eastAsia"/>
          <w:lang w:eastAsia="zh-CN"/>
        </w:rPr>
      </w:pPr>
    </w:p>
    <w:p w14:paraId="0EC9D0FF">
      <w:pPr>
        <w:spacing w:line="336" w:lineRule="auto"/>
        <w:rPr>
          <w:rFonts w:hint="eastAsia"/>
          <w:lang w:eastAsia="zh-CN"/>
        </w:rPr>
      </w:pPr>
    </w:p>
    <w:p w14:paraId="22DDD0A1">
      <w:pPr>
        <w:spacing w:line="336" w:lineRule="auto"/>
        <w:rPr>
          <w:rFonts w:hint="eastAsia"/>
          <w:lang w:eastAsia="zh-CN"/>
        </w:rPr>
      </w:pPr>
    </w:p>
    <w:p w14:paraId="2698797F">
      <w:pPr>
        <w:spacing w:line="336" w:lineRule="auto"/>
        <w:rPr>
          <w:rFonts w:hint="eastAsia"/>
          <w:lang w:eastAsia="zh-CN"/>
        </w:rPr>
      </w:pPr>
    </w:p>
    <w:p w14:paraId="050DBB6B">
      <w:pPr>
        <w:spacing w:line="336" w:lineRule="auto"/>
        <w:rPr>
          <w:rFonts w:hint="eastAsia"/>
          <w:lang w:eastAsia="zh-CN"/>
        </w:rPr>
      </w:pPr>
    </w:p>
    <w:p w14:paraId="10EC487E">
      <w:pPr>
        <w:spacing w:line="336" w:lineRule="auto"/>
        <w:rPr>
          <w:rFonts w:hint="eastAsia"/>
          <w:lang w:eastAsia="zh-CN"/>
        </w:rPr>
      </w:pPr>
    </w:p>
    <w:p w14:paraId="282D7B1B">
      <w:pPr>
        <w:spacing w:line="336" w:lineRule="auto"/>
        <w:rPr>
          <w:rFonts w:hint="eastAsia"/>
          <w:lang w:eastAsia="zh-CN"/>
        </w:rPr>
      </w:pPr>
    </w:p>
    <w:p w14:paraId="383457AF">
      <w:pPr>
        <w:spacing w:line="336" w:lineRule="auto"/>
        <w:rPr>
          <w:rFonts w:hint="eastAsia"/>
          <w:lang w:eastAsia="zh-CN"/>
        </w:rPr>
      </w:pPr>
    </w:p>
    <w:p w14:paraId="022C8A66">
      <w:pPr>
        <w:spacing w:line="336" w:lineRule="auto"/>
        <w:rPr>
          <w:rFonts w:hint="eastAsia"/>
          <w:lang w:eastAsia="zh-CN"/>
        </w:rPr>
      </w:pPr>
    </w:p>
    <w:p w14:paraId="2026B018">
      <w:pPr>
        <w:spacing w:line="336" w:lineRule="auto"/>
        <w:rPr>
          <w:rFonts w:hint="eastAsia"/>
          <w:lang w:eastAsia="zh-CN"/>
        </w:rPr>
      </w:pPr>
    </w:p>
    <w:p w14:paraId="3B6ADF8E">
      <w:pPr>
        <w:spacing w:line="336" w:lineRule="auto"/>
        <w:rPr>
          <w:rFonts w:hint="eastAsia"/>
          <w:lang w:eastAsia="zh-CN"/>
        </w:rPr>
      </w:pPr>
    </w:p>
    <w:p w14:paraId="4DCDF745">
      <w:pPr>
        <w:spacing w:line="336" w:lineRule="auto"/>
        <w:rPr>
          <w:rFonts w:hint="eastAsia"/>
          <w:lang w:eastAsia="zh-CN"/>
        </w:rPr>
      </w:pPr>
    </w:p>
    <w:p w14:paraId="7D1CB7BE">
      <w:pPr>
        <w:spacing w:line="336" w:lineRule="auto"/>
        <w:rPr>
          <w:rFonts w:hint="eastAsia"/>
          <w:lang w:eastAsia="zh-CN"/>
        </w:rPr>
      </w:pPr>
    </w:p>
    <w:p w14:paraId="7B87A9A5">
      <w:pPr>
        <w:spacing w:line="336" w:lineRule="auto"/>
        <w:rPr>
          <w:rFonts w:hint="eastAsia"/>
          <w:lang w:eastAsia="zh-CN"/>
        </w:rPr>
      </w:pPr>
    </w:p>
    <w:p w14:paraId="74493D7D">
      <w:pPr>
        <w:spacing w:line="336" w:lineRule="auto"/>
        <w:rPr>
          <w:rFonts w:hint="eastAsia" w:ascii="宋体" w:hAnsi="宋体"/>
          <w:b/>
          <w:bCs/>
          <w:sz w:val="32"/>
          <w:szCs w:val="32"/>
        </w:rPr>
      </w:pPr>
      <w:r>
        <w:rPr>
          <w:rFonts w:hint="eastAsia"/>
          <w:lang w:eastAsia="zh-CN"/>
        </w:rPr>
        <w:t>附件</w:t>
      </w:r>
      <w:r>
        <w:rPr>
          <w:rFonts w:hint="eastAsia"/>
          <w:lang w:val="en-US" w:eastAsia="zh-CN"/>
        </w:rPr>
        <w:t>1</w:t>
      </w:r>
      <w:r>
        <w:rPr>
          <w:rFonts w:hint="eastAsia" w:ascii="宋体" w:hAnsi="宋体"/>
          <w:b/>
          <w:bCs/>
          <w:sz w:val="32"/>
          <w:szCs w:val="32"/>
        </w:rPr>
        <w:t>：</w:t>
      </w:r>
    </w:p>
    <w:p w14:paraId="2CF4B023">
      <w:pPr>
        <w:rPr>
          <w:rFonts w:hint="eastAsia"/>
        </w:rPr>
      </w:pPr>
    </w:p>
    <w:p w14:paraId="3F099A16">
      <w:pPr>
        <w:spacing w:line="440" w:lineRule="exact"/>
        <w:ind w:firstLine="643" w:firstLineChars="200"/>
        <w:jc w:val="center"/>
        <w:rPr>
          <w:rFonts w:hint="eastAsia" w:ascii="仿宋_GB2312" w:hAnsi="宋体" w:eastAsia="仿宋_GB2312"/>
          <w:b/>
          <w:bCs/>
          <w:sz w:val="32"/>
          <w:szCs w:val="32"/>
        </w:rPr>
      </w:pPr>
    </w:p>
    <w:p w14:paraId="3D49FB07">
      <w:pPr>
        <w:spacing w:line="440" w:lineRule="exact"/>
        <w:ind w:firstLine="643" w:firstLineChars="200"/>
        <w:jc w:val="center"/>
        <w:rPr>
          <w:rFonts w:hint="eastAsia" w:ascii="仿宋_GB2312" w:hAnsi="宋体" w:eastAsia="仿宋_GB2312"/>
          <w:b/>
          <w:bCs/>
          <w:sz w:val="32"/>
          <w:szCs w:val="32"/>
        </w:rPr>
      </w:pPr>
      <w:r>
        <w:rPr>
          <w:rFonts w:hint="eastAsia" w:ascii="仿宋_GB2312" w:hAnsi="宋体" w:eastAsia="仿宋_GB2312"/>
          <w:b/>
          <w:bCs/>
          <w:sz w:val="32"/>
          <w:szCs w:val="32"/>
        </w:rPr>
        <w:t>项目廉政责任书</w:t>
      </w:r>
    </w:p>
    <w:p w14:paraId="4B122681">
      <w:pPr>
        <w:spacing w:line="440" w:lineRule="exact"/>
        <w:ind w:firstLine="480" w:firstLineChars="200"/>
        <w:rPr>
          <w:rFonts w:hint="eastAsia" w:ascii="仿宋_GB2312" w:hAnsi="宋体" w:eastAsia="仿宋_GB2312"/>
          <w:sz w:val="24"/>
        </w:rPr>
      </w:pPr>
    </w:p>
    <w:p w14:paraId="226264D1">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项目名称：车辆出入道闸系统升级改造  </w:t>
      </w:r>
    </w:p>
    <w:p w14:paraId="75E06753">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项目地址：广州市海珠区石榴岗路13号  </w:t>
      </w:r>
    </w:p>
    <w:p w14:paraId="0760DE6F">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发包人(甲方)：南方医科大学中西医结合医院</w:t>
      </w:r>
    </w:p>
    <w:p w14:paraId="0BD7A39D">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承包人(乙方)：</w:t>
      </w:r>
    </w:p>
    <w:p w14:paraId="11BAD21E">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为加强廉政建设，规范双方的各项活动，防止发生各种谋取不正当利益的违法违纪行为，保护国家、集体和当事人的合法权益，根据国家有关法律法规和廉政建设责任制规定，特订立本廉政责任书。 </w:t>
      </w:r>
    </w:p>
    <w:p w14:paraId="77B1E3EF">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第一条  甲乙双方的责任 </w:t>
      </w:r>
    </w:p>
    <w:p w14:paraId="771524A9">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(一)应严格遵守国家关于市场准入、项目招标投标、市场活动等有关法律、法规、相关政策，以及廉政建设的各项规定。 </w:t>
      </w:r>
    </w:p>
    <w:p w14:paraId="59BE7301">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(二)严格执行合同文件，自觉按合同办事。 </w:t>
      </w:r>
    </w:p>
    <w:p w14:paraId="6F837F3F">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(三)业务活动必须坚持公开、公平、公正、诚信、透明的原则(除法律法规另有规定者外)，不得为获取不正当的利益，损害国家、集体和对方利益，不得违反相关规章制度。 </w:t>
      </w:r>
    </w:p>
    <w:p w14:paraId="0F81E88F">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(四)发现对方在业务活动中违规、违纪、违法行为的，应及时提醒对方，情节严重的，应向其上级主管部门或纪检监察、司法等有关机关举报。 </w:t>
      </w:r>
    </w:p>
    <w:p w14:paraId="68DC8ACB">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第二条  甲方的责任 </w:t>
      </w:r>
    </w:p>
    <w:p w14:paraId="7325D4BB">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甲方的领导和从事该项目的工作人员，在采购的事前、事中、事后应遵守以下规定： </w:t>
      </w:r>
    </w:p>
    <w:p w14:paraId="151DD49E">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(一)不准向乙方和相关单位索要或接受回扣、礼金、有价证券、贵重物品和好处费、 </w:t>
      </w:r>
    </w:p>
    <w:p w14:paraId="1A4C36EA">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(二)不准在乙方和相关单位报销任何应由甲方或个人支付的费用。 </w:t>
      </w:r>
    </w:p>
    <w:p w14:paraId="7DB8DE8E">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(三)不准要求、暗示或接受乙方和相关单位为个人装修住房、婚丧嫁娶、配偶子女的工作安排以及出国(境)、旅游等提供方便。 </w:t>
      </w:r>
    </w:p>
    <w:p w14:paraId="1E296047">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(四)不准参加有可能影响公正执行公务的乙方和相关单位的宴请、健身、娱乐等活动。 </w:t>
      </w:r>
    </w:p>
    <w:p w14:paraId="208B447B">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(五)不准向乙方介绍或为配偶、子女、亲属参与同甲方项目合同有关的分包、劳务等经济活动。不得以任何理由向乙方和相关单位推荐分包单位和要求乙方购买项目合同规定以外的材料、设备等。 </w:t>
      </w:r>
    </w:p>
    <w:p w14:paraId="3092AC7C">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第三条  乙方的责任 </w:t>
      </w:r>
    </w:p>
    <w:p w14:paraId="55F4D4B9">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应与甲方保持正常的业务交往，按照有关法律法规和程序开展业务工作，严格执行相关方针、政策，并遵守以下规定：</w:t>
      </w:r>
    </w:p>
    <w:p w14:paraId="5F67385A">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(一)不准以任何理由向甲方、相关单位及其工作人员索要、接受或赠送礼金、有价证券贵重物品及回扣、好处费、感谢费等。 </w:t>
      </w:r>
    </w:p>
    <w:p w14:paraId="29FEB444">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(二)不准以任何理由为甲方和相关单位报销应由对方或个人支付的费用。 </w:t>
      </w:r>
    </w:p>
    <w:p w14:paraId="5245749C">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(三)不准接受或暗示为甲方、相关单位或个人装修住房、婚丧嫁娶、配偶子女的工作安排以及出国(境)、旅游等提供方便。 </w:t>
      </w:r>
    </w:p>
    <w:p w14:paraId="7EDC1027">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(四)不准以任何理由为甲方、相关单位或个人组织有可能影响公正执行公务的宴请、健身、娱乐等活动。 </w:t>
      </w:r>
    </w:p>
    <w:p w14:paraId="3F6D70D0">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第四条  违约责任 </w:t>
      </w:r>
    </w:p>
    <w:p w14:paraId="62E64B19">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甲方工作人员有违反本责任书第一、第二条责任行为的，按照管理权限，依据有关法律法规和规定给予党纪、政纪处分或组织处理；涉嫌犯罪的，移交司法机关追究刑事责任；给乙方单位造成经济损失的，应予以赔偿。 </w:t>
      </w:r>
    </w:p>
    <w:p w14:paraId="6B562489">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D39BDB6">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第五条  本责任书作为合同的附件，与合同具有同等法律效力经双方签署后立即生效。 </w:t>
      </w:r>
    </w:p>
    <w:p w14:paraId="71953194">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第六条  本责任书的有效期与合同的规定相同。</w:t>
      </w:r>
    </w:p>
    <w:p w14:paraId="4FC8788E">
      <w:pPr>
        <w:spacing w:line="440" w:lineRule="exact"/>
        <w:rPr>
          <w:rFonts w:hint="eastAsia" w:ascii="仿宋_GB2312" w:hAnsi="宋体" w:eastAsia="仿宋_GB2312"/>
          <w:sz w:val="24"/>
        </w:rPr>
      </w:pPr>
    </w:p>
    <w:p w14:paraId="34EA13EE">
      <w:pPr>
        <w:spacing w:line="440" w:lineRule="exact"/>
        <w:rPr>
          <w:rFonts w:hint="default" w:ascii="仿宋_GB2312" w:hAnsi="宋体" w:eastAsia="仿宋_GB2312"/>
          <w:sz w:val="24"/>
          <w:lang w:val="en-US" w:eastAsia="zh-CN"/>
        </w:rPr>
      </w:pPr>
      <w:r>
        <w:rPr>
          <w:rFonts w:hint="eastAsia" w:ascii="仿宋_GB2312" w:hAnsi="宋体" w:eastAsia="仿宋_GB2312"/>
          <w:sz w:val="24"/>
        </w:rPr>
        <w:t>甲方单位：</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乙方单位：</w:t>
      </w:r>
    </w:p>
    <w:p w14:paraId="1157215F">
      <w:pPr>
        <w:spacing w:line="440" w:lineRule="exact"/>
        <w:rPr>
          <w:rFonts w:hint="default" w:ascii="仿宋_GB2312" w:hAnsi="宋体" w:eastAsia="仿宋_GB2312"/>
          <w:sz w:val="24"/>
          <w:lang w:val="en-US" w:eastAsia="zh-CN"/>
        </w:rPr>
      </w:pPr>
      <w:r>
        <w:rPr>
          <w:rFonts w:hint="eastAsia" w:ascii="仿宋_GB2312" w:hAnsi="宋体" w:eastAsia="仿宋_GB2312"/>
          <w:sz w:val="24"/>
        </w:rPr>
        <w:t xml:space="preserve">南方医科大学中西医结合医院           </w:t>
      </w:r>
      <w:r>
        <w:rPr>
          <w:rFonts w:hint="eastAsia" w:ascii="仿宋_GB2312" w:hAnsi="宋体" w:eastAsia="仿宋_GB2312"/>
          <w:sz w:val="24"/>
          <w:lang w:val="en-US" w:eastAsia="zh-CN"/>
        </w:rPr>
        <w:t xml:space="preserve"> </w:t>
      </w:r>
    </w:p>
    <w:p w14:paraId="7BB53DBD">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（公章）                                    （公章）</w:t>
      </w:r>
    </w:p>
    <w:p w14:paraId="4C4AA6A2">
      <w:pPr>
        <w:spacing w:line="440" w:lineRule="exact"/>
        <w:rPr>
          <w:rFonts w:hint="eastAsia" w:ascii="仿宋_GB2312" w:hAnsi="宋体" w:eastAsia="仿宋_GB2312"/>
          <w:sz w:val="24"/>
        </w:rPr>
      </w:pPr>
      <w:r>
        <w:rPr>
          <w:rFonts w:hint="eastAsia" w:ascii="仿宋_GB2312" w:hAnsi="宋体" w:eastAsia="仿宋_GB2312"/>
          <w:sz w:val="24"/>
        </w:rPr>
        <w:t xml:space="preserve"> 法定代表人：                         法定代表人：</w:t>
      </w:r>
    </w:p>
    <w:p w14:paraId="16A042B2">
      <w:pPr>
        <w:spacing w:line="440" w:lineRule="exact"/>
        <w:rPr>
          <w:rFonts w:hint="eastAsia" w:ascii="仿宋_GB2312" w:hAnsi="宋体" w:eastAsia="仿宋_GB2312"/>
          <w:sz w:val="24"/>
        </w:rPr>
      </w:pPr>
      <w:r>
        <w:rPr>
          <w:rFonts w:hint="eastAsia" w:ascii="仿宋_GB2312" w:hAnsi="宋体" w:eastAsia="仿宋_GB2312"/>
          <w:sz w:val="24"/>
        </w:rPr>
        <w:t xml:space="preserve"> 联系电话：                           联系电话：</w:t>
      </w:r>
    </w:p>
    <w:p w14:paraId="320B5772">
      <w:pPr>
        <w:spacing w:line="440" w:lineRule="exact"/>
        <w:rPr>
          <w:rFonts w:hint="eastAsia" w:ascii="仿宋_GB2312" w:hAnsi="宋体" w:eastAsia="仿宋_GB2312"/>
          <w:sz w:val="24"/>
        </w:rPr>
      </w:pPr>
      <w:r>
        <w:rPr>
          <w:rFonts w:hint="eastAsia" w:ascii="仿宋_GB2312" w:hAnsi="宋体" w:eastAsia="仿宋_GB2312"/>
          <w:sz w:val="24"/>
        </w:rPr>
        <w:t xml:space="preserve"> 202</w:t>
      </w:r>
      <w:r>
        <w:rPr>
          <w:rFonts w:hint="eastAsia" w:ascii="仿宋_GB2312" w:hAnsi="宋体" w:eastAsia="仿宋_GB2312"/>
          <w:sz w:val="24"/>
          <w:lang w:val="en-US" w:eastAsia="zh-CN"/>
        </w:rPr>
        <w:t>5</w:t>
      </w:r>
      <w:r>
        <w:rPr>
          <w:rFonts w:hint="eastAsia" w:ascii="仿宋_GB2312" w:hAnsi="宋体" w:eastAsia="仿宋_GB2312"/>
          <w:sz w:val="24"/>
        </w:rPr>
        <w:t>年   月   日                     202</w:t>
      </w:r>
      <w:r>
        <w:rPr>
          <w:rFonts w:hint="eastAsia" w:ascii="仿宋_GB2312" w:hAnsi="宋体" w:eastAsia="仿宋_GB2312"/>
          <w:sz w:val="24"/>
          <w:lang w:val="en-US" w:eastAsia="zh-CN"/>
        </w:rPr>
        <w:t>5</w:t>
      </w:r>
      <w:r>
        <w:rPr>
          <w:rFonts w:hint="eastAsia" w:ascii="仿宋_GB2312" w:hAnsi="宋体" w:eastAsia="仿宋_GB2312"/>
          <w:sz w:val="24"/>
        </w:rPr>
        <w:t>年   月   日</w:t>
      </w:r>
    </w:p>
    <w:p w14:paraId="243422AA">
      <w:pPr>
        <w:rPr>
          <w:rFonts w:hint="eastAsia"/>
          <w:lang w:val="en-US" w:eastAsia="zh-CN"/>
        </w:rPr>
      </w:pPr>
    </w:p>
    <w:p w14:paraId="110F98BA">
      <w:pPr>
        <w:rPr>
          <w:rFonts w:hint="eastAsia"/>
          <w:lang w:val="en-US" w:eastAsia="zh-CN"/>
        </w:rPr>
      </w:pPr>
    </w:p>
    <w:p w14:paraId="03FF447F">
      <w:pPr>
        <w:pStyle w:val="3"/>
        <w:numPr>
          <w:ilvl w:val="0"/>
          <w:numId w:val="0"/>
        </w:numPr>
        <w:bidi w:val="0"/>
        <w:rPr>
          <w:rFonts w:hint="eastAsia"/>
          <w:lang w:val="en-US" w:eastAsia="zh-CN"/>
        </w:rPr>
      </w:pPr>
      <w:r>
        <w:rPr>
          <w:rFonts w:hint="eastAsia"/>
          <w:lang w:val="en-US" w:eastAsia="zh-CN"/>
        </w:rPr>
        <w:t>五、响应文件格式</w:t>
      </w:r>
    </w:p>
    <w:p w14:paraId="3BEC2C92">
      <w:pPr>
        <w:widowControl w:val="0"/>
        <w:spacing w:line="360" w:lineRule="auto"/>
        <w:rPr>
          <w:rFonts w:hint="default" w:ascii="宋体"/>
          <w:color w:val="000000"/>
          <w:szCs w:val="21"/>
          <w:lang w:val="en-US" w:eastAsia="zh-CN"/>
        </w:rPr>
      </w:pPr>
      <w:r>
        <w:rPr>
          <w:rFonts w:hint="default" w:ascii="宋体"/>
          <w:color w:val="000000"/>
          <w:szCs w:val="21"/>
          <w:lang w:val="en-US" w:eastAsia="zh-CN"/>
        </w:rPr>
        <w:t>资料封面。所含内容依次如下:封面标题《XX项目院内</w:t>
      </w:r>
      <w:r>
        <w:rPr>
          <w:rFonts w:hint="eastAsia" w:ascii="宋体"/>
          <w:color w:val="000000"/>
          <w:szCs w:val="21"/>
          <w:lang w:val="en-US" w:eastAsia="zh-CN"/>
        </w:rPr>
        <w:t>询价采购响应文件</w:t>
      </w:r>
      <w:r>
        <w:rPr>
          <w:rFonts w:hint="default" w:ascii="宋体"/>
          <w:color w:val="000000"/>
          <w:szCs w:val="21"/>
          <w:lang w:val="en-US" w:eastAsia="zh-CN"/>
        </w:rPr>
        <w:t>》包括单位的名称、联系人、联系方式；</w:t>
      </w:r>
    </w:p>
    <w:p w14:paraId="3A81457D">
      <w:pPr>
        <w:widowControl w:val="0"/>
        <w:spacing w:line="360" w:lineRule="auto"/>
        <w:rPr>
          <w:rFonts w:hint="default" w:ascii="宋体"/>
          <w:color w:val="000000"/>
          <w:szCs w:val="21"/>
          <w:lang w:val="en-US" w:eastAsia="zh-CN"/>
        </w:rPr>
      </w:pPr>
      <w:r>
        <w:rPr>
          <w:rFonts w:hint="default" w:ascii="宋体"/>
          <w:color w:val="000000"/>
          <w:szCs w:val="21"/>
          <w:lang w:val="en-US" w:eastAsia="zh-CN"/>
        </w:rPr>
        <w:t>（一）本项目报价</w:t>
      </w:r>
      <w:r>
        <w:rPr>
          <w:rFonts w:hint="eastAsia" w:ascii="宋体"/>
          <w:color w:val="000000"/>
          <w:szCs w:val="21"/>
          <w:lang w:val="en-US" w:eastAsia="zh-CN"/>
        </w:rPr>
        <w:t>（请参考“三、采购需求”中“2、采购内容”中“表2.1 设备采购需求及参数清单”的格式进行报价，报价需包括每种设备的单价和项目总报价）。</w:t>
      </w:r>
    </w:p>
    <w:p w14:paraId="7D1A2CE3">
      <w:pPr>
        <w:widowControl w:val="0"/>
        <w:spacing w:line="360" w:lineRule="auto"/>
        <w:rPr>
          <w:rFonts w:hint="default" w:ascii="宋体"/>
          <w:color w:val="000000"/>
          <w:szCs w:val="21"/>
          <w:lang w:val="en-US" w:eastAsia="zh-CN"/>
        </w:rPr>
      </w:pPr>
      <w:r>
        <w:rPr>
          <w:rFonts w:hint="default" w:ascii="宋体"/>
          <w:color w:val="000000"/>
          <w:szCs w:val="21"/>
          <w:lang w:val="en-US" w:eastAsia="zh-CN"/>
        </w:rPr>
        <w:t>（二）本项目售后服务</w:t>
      </w:r>
    </w:p>
    <w:p w14:paraId="31E0558A">
      <w:pPr>
        <w:widowControl w:val="0"/>
        <w:spacing w:line="360" w:lineRule="auto"/>
        <w:rPr>
          <w:rFonts w:hint="default" w:ascii="宋体"/>
          <w:color w:val="000000"/>
          <w:szCs w:val="21"/>
          <w:lang w:val="en-US" w:eastAsia="zh-CN"/>
        </w:rPr>
      </w:pPr>
      <w:r>
        <w:rPr>
          <w:rFonts w:hint="default" w:ascii="宋体"/>
          <w:color w:val="000000"/>
          <w:szCs w:val="21"/>
          <w:lang w:val="en-US" w:eastAsia="zh-CN"/>
        </w:rPr>
        <w:t>（三）相关资质文件复印件（加公章）</w:t>
      </w:r>
    </w:p>
    <w:p w14:paraId="6752D268">
      <w:pPr>
        <w:widowControl w:val="0"/>
        <w:spacing w:line="360" w:lineRule="auto"/>
        <w:rPr>
          <w:rFonts w:hint="default" w:ascii="宋体"/>
          <w:color w:val="000000"/>
          <w:szCs w:val="21"/>
          <w:lang w:val="en-US" w:eastAsia="zh-CN"/>
        </w:rPr>
      </w:pPr>
      <w:r>
        <w:rPr>
          <w:rFonts w:hint="default" w:ascii="宋体"/>
          <w:color w:val="000000"/>
          <w:szCs w:val="21"/>
          <w:lang w:val="en-US" w:eastAsia="zh-CN"/>
        </w:rPr>
        <w:t>（四）法定代表人</w:t>
      </w:r>
      <w:r>
        <w:rPr>
          <w:rFonts w:hint="eastAsia" w:ascii="宋体"/>
          <w:color w:val="000000"/>
          <w:szCs w:val="21"/>
          <w:lang w:val="en-US" w:eastAsia="zh-CN"/>
        </w:rPr>
        <w:t>资格</w:t>
      </w:r>
      <w:r>
        <w:rPr>
          <w:rFonts w:hint="default" w:ascii="宋体"/>
          <w:color w:val="000000"/>
          <w:szCs w:val="21"/>
          <w:lang w:val="en-US" w:eastAsia="zh-CN"/>
        </w:rPr>
        <w:t>证明书及法定代表人授权委托书</w:t>
      </w:r>
    </w:p>
    <w:p w14:paraId="18CDE551">
      <w:pPr>
        <w:widowControl w:val="0"/>
        <w:spacing w:line="360" w:lineRule="auto"/>
        <w:rPr>
          <w:rFonts w:hint="default" w:ascii="宋体"/>
          <w:color w:val="000000"/>
          <w:szCs w:val="21"/>
          <w:lang w:val="en-US" w:eastAsia="zh-CN"/>
        </w:rPr>
      </w:pPr>
      <w:r>
        <w:rPr>
          <w:rFonts w:hint="default" w:ascii="宋体"/>
          <w:color w:val="000000"/>
          <w:szCs w:val="21"/>
          <w:lang w:val="en-US" w:eastAsia="zh-CN"/>
        </w:rPr>
        <w:t>（五）需求响应承诺函</w:t>
      </w:r>
    </w:p>
    <w:p w14:paraId="6C553EAC">
      <w:pPr>
        <w:widowControl w:val="0"/>
        <w:spacing w:line="360" w:lineRule="auto"/>
        <w:rPr>
          <w:rFonts w:hint="default" w:ascii="宋体"/>
          <w:color w:val="000000"/>
          <w:szCs w:val="21"/>
          <w:lang w:val="en-US" w:eastAsia="zh-CN"/>
        </w:rPr>
      </w:pPr>
      <w:r>
        <w:rPr>
          <w:rFonts w:hint="eastAsia" w:ascii="宋体"/>
          <w:color w:val="000000"/>
          <w:szCs w:val="21"/>
          <w:lang w:val="en-US" w:eastAsia="zh-CN"/>
        </w:rPr>
        <w:t>（六）供应商资格声明函模板</w:t>
      </w:r>
    </w:p>
    <w:p w14:paraId="6144E6E8">
      <w:pPr>
        <w:pStyle w:val="3"/>
        <w:bidi w:val="0"/>
        <w:rPr>
          <w:rFonts w:hint="eastAsia"/>
          <w:lang w:val="en-US" w:eastAsia="zh-CN"/>
        </w:rPr>
      </w:pPr>
    </w:p>
    <w:p w14:paraId="16E590D3">
      <w:pPr>
        <w:rPr>
          <w:rFonts w:hint="eastAsia"/>
          <w:lang w:val="en-US" w:eastAsia="zh-CN"/>
        </w:rPr>
      </w:pPr>
    </w:p>
    <w:p w14:paraId="2A6EC0E4">
      <w:pPr>
        <w:rPr>
          <w:rFonts w:hint="eastAsia"/>
          <w:lang w:val="en-US" w:eastAsia="zh-CN"/>
        </w:rPr>
      </w:pPr>
    </w:p>
    <w:p w14:paraId="1DF3936B">
      <w:pPr>
        <w:rPr>
          <w:rFonts w:hint="eastAsia"/>
          <w:lang w:val="en-US" w:eastAsia="zh-CN"/>
        </w:rPr>
      </w:pPr>
    </w:p>
    <w:p w14:paraId="024127B9">
      <w:pPr>
        <w:rPr>
          <w:rFonts w:hint="eastAsia"/>
          <w:lang w:val="en-US" w:eastAsia="zh-CN"/>
        </w:rPr>
      </w:pPr>
    </w:p>
    <w:p w14:paraId="11EC5678">
      <w:pPr>
        <w:rPr>
          <w:rFonts w:hint="eastAsia"/>
          <w:lang w:val="en-US" w:eastAsia="zh-CN"/>
        </w:rPr>
      </w:pPr>
    </w:p>
    <w:p w14:paraId="2B7D4649">
      <w:pPr>
        <w:rPr>
          <w:rFonts w:hint="eastAsia"/>
          <w:lang w:val="en-US" w:eastAsia="zh-CN"/>
        </w:rPr>
      </w:pPr>
    </w:p>
    <w:p w14:paraId="0E3CCA83">
      <w:pPr>
        <w:rPr>
          <w:rFonts w:hint="eastAsia"/>
          <w:lang w:val="en-US" w:eastAsia="zh-CN"/>
        </w:rPr>
      </w:pPr>
    </w:p>
    <w:p w14:paraId="61593994">
      <w:pPr>
        <w:rPr>
          <w:rFonts w:hint="eastAsia"/>
          <w:lang w:val="en-US" w:eastAsia="zh-CN"/>
        </w:rPr>
      </w:pPr>
    </w:p>
    <w:p w14:paraId="7C04D416">
      <w:pPr>
        <w:rPr>
          <w:rFonts w:hint="eastAsia"/>
          <w:lang w:val="en-US" w:eastAsia="zh-CN"/>
        </w:rPr>
      </w:pPr>
    </w:p>
    <w:p w14:paraId="31FADFD7">
      <w:pPr>
        <w:rPr>
          <w:rFonts w:hint="eastAsia"/>
          <w:lang w:val="en-US" w:eastAsia="zh-CN"/>
        </w:rPr>
      </w:pPr>
    </w:p>
    <w:p w14:paraId="35E178EF">
      <w:pPr>
        <w:rPr>
          <w:rFonts w:hint="eastAsia"/>
          <w:lang w:val="en-US" w:eastAsia="zh-CN"/>
        </w:rPr>
      </w:pPr>
    </w:p>
    <w:p w14:paraId="7E29BFF0">
      <w:pPr>
        <w:rPr>
          <w:rFonts w:hint="eastAsia"/>
          <w:lang w:val="en-US" w:eastAsia="zh-CN"/>
        </w:rPr>
      </w:pPr>
    </w:p>
    <w:p w14:paraId="39340607">
      <w:pPr>
        <w:rPr>
          <w:rFonts w:hint="eastAsia"/>
          <w:lang w:val="en-US" w:eastAsia="zh-CN"/>
        </w:rPr>
      </w:pPr>
    </w:p>
    <w:p w14:paraId="77309865">
      <w:pPr>
        <w:rPr>
          <w:rFonts w:hint="eastAsia"/>
          <w:lang w:val="en-US" w:eastAsia="zh-CN"/>
        </w:rPr>
      </w:pPr>
    </w:p>
    <w:p w14:paraId="7C8C3FC4">
      <w:pPr>
        <w:rPr>
          <w:rFonts w:hint="eastAsia"/>
          <w:lang w:val="en-US" w:eastAsia="zh-CN"/>
        </w:rPr>
      </w:pPr>
    </w:p>
    <w:p w14:paraId="572629CE">
      <w:pPr>
        <w:rPr>
          <w:rFonts w:hint="eastAsia"/>
          <w:lang w:val="en-US" w:eastAsia="zh-CN"/>
        </w:rPr>
      </w:pPr>
    </w:p>
    <w:p w14:paraId="3D353574">
      <w:pPr>
        <w:rPr>
          <w:rFonts w:hint="eastAsia"/>
          <w:lang w:val="en-US" w:eastAsia="zh-CN"/>
        </w:rPr>
      </w:pPr>
    </w:p>
    <w:p w14:paraId="7C2CCF53">
      <w:pPr>
        <w:rPr>
          <w:rFonts w:hint="eastAsia"/>
          <w:lang w:val="en-US" w:eastAsia="zh-CN"/>
        </w:rPr>
      </w:pPr>
    </w:p>
    <w:p w14:paraId="1985CD06">
      <w:pPr>
        <w:rPr>
          <w:rFonts w:hint="eastAsia"/>
          <w:lang w:val="en-US" w:eastAsia="zh-CN"/>
        </w:rPr>
      </w:pPr>
    </w:p>
    <w:p w14:paraId="73614733">
      <w:pPr>
        <w:rPr>
          <w:rFonts w:hint="eastAsia"/>
          <w:lang w:val="en-US" w:eastAsia="zh-CN"/>
        </w:rPr>
      </w:pPr>
    </w:p>
    <w:p w14:paraId="7D954CBC">
      <w:pPr>
        <w:rPr>
          <w:rFonts w:hint="eastAsia"/>
          <w:lang w:val="en-US" w:eastAsia="zh-CN"/>
        </w:rPr>
      </w:pPr>
    </w:p>
    <w:p w14:paraId="761631DB">
      <w:pPr>
        <w:rPr>
          <w:rFonts w:hint="eastAsia"/>
          <w:lang w:val="en-US" w:eastAsia="zh-CN"/>
        </w:rPr>
      </w:pPr>
    </w:p>
    <w:p w14:paraId="126013F1">
      <w:pPr>
        <w:pStyle w:val="3"/>
        <w:bidi w:val="0"/>
        <w:rPr>
          <w:rFonts w:hint="default"/>
          <w:lang w:val="en-US" w:eastAsia="zh-CN"/>
        </w:rPr>
      </w:pPr>
      <w:r>
        <w:rPr>
          <w:rFonts w:hint="eastAsia"/>
          <w:lang w:val="en-US" w:eastAsia="zh-CN"/>
        </w:rPr>
        <w:t>六、</w:t>
      </w:r>
      <w:r>
        <w:rPr>
          <w:rFonts w:hint="default" w:ascii="宋体"/>
          <w:color w:val="000000"/>
          <w:szCs w:val="21"/>
          <w:lang w:val="en-US" w:eastAsia="zh-CN"/>
        </w:rPr>
        <w:t>法定代表人</w:t>
      </w:r>
      <w:r>
        <w:rPr>
          <w:rFonts w:hint="eastAsia" w:ascii="宋体"/>
          <w:color w:val="000000"/>
          <w:szCs w:val="21"/>
          <w:lang w:val="en-US" w:eastAsia="zh-CN"/>
        </w:rPr>
        <w:t>资格</w:t>
      </w:r>
      <w:r>
        <w:rPr>
          <w:rFonts w:hint="default" w:ascii="宋体"/>
          <w:color w:val="000000"/>
          <w:szCs w:val="21"/>
          <w:lang w:val="en-US" w:eastAsia="zh-CN"/>
        </w:rPr>
        <w:t>证明书及法定代表人授权委托书</w:t>
      </w:r>
      <w:r>
        <w:rPr>
          <w:rFonts w:hint="eastAsia" w:ascii="宋体"/>
          <w:color w:val="000000"/>
          <w:szCs w:val="21"/>
          <w:lang w:val="en-US" w:eastAsia="zh-CN"/>
        </w:rPr>
        <w:t>模板</w:t>
      </w:r>
    </w:p>
    <w:p w14:paraId="6C994D45">
      <w:pPr>
        <w:pStyle w:val="8"/>
        <w:pageBreakBefore w:val="0"/>
        <w:wordWrap/>
        <w:topLinePunct w:val="0"/>
        <w:bidi w:val="0"/>
        <w:spacing w:line="560" w:lineRule="exact"/>
        <w:jc w:val="center"/>
        <w:textAlignment w:val="auto"/>
        <w:rPr>
          <w:rFonts w:hint="eastAsia" w:ascii="方正公文小标宋" w:hAnsi="方正公文小标宋" w:eastAsia="方正公文小标宋" w:cs="方正公文小标宋"/>
          <w:color w:val="auto"/>
          <w:kern w:val="2"/>
          <w:sz w:val="44"/>
          <w:szCs w:val="44"/>
          <w:highlight w:val="none"/>
          <w:lang w:val="en-US" w:eastAsia="zh-CN" w:bidi="ar-SA"/>
        </w:rPr>
      </w:pPr>
      <w:r>
        <w:rPr>
          <w:rFonts w:hint="eastAsia" w:ascii="方正公文小标宋" w:hAnsi="方正公文小标宋" w:eastAsia="方正公文小标宋" w:cs="方正公文小标宋"/>
          <w:color w:val="auto"/>
          <w:kern w:val="2"/>
          <w:sz w:val="44"/>
          <w:szCs w:val="44"/>
          <w:highlight w:val="none"/>
          <w:lang w:val="en-US" w:eastAsia="zh-CN" w:bidi="ar-SA"/>
        </w:rPr>
        <w:t>参选人法定代表人资格证明书</w:t>
      </w:r>
    </w:p>
    <w:p w14:paraId="24981A69">
      <w:pPr>
        <w:pageBreakBefore w:val="0"/>
        <w:wordWrap/>
        <w:topLinePunct w:val="0"/>
        <w:bidi w:val="0"/>
        <w:adjustRightInd w:val="0"/>
        <w:snapToGrid w:val="0"/>
        <w:spacing w:line="560" w:lineRule="exact"/>
        <w:jc w:val="center"/>
        <w:textAlignment w:val="auto"/>
        <w:rPr>
          <w:rFonts w:hint="eastAsia" w:ascii="Arial Unicode MS" w:hAnsi="Arial Unicode MS" w:cs="宋体"/>
          <w:color w:val="auto"/>
          <w:sz w:val="24"/>
          <w:highlight w:val="none"/>
        </w:rPr>
      </w:pPr>
    </w:p>
    <w:p w14:paraId="3F0D33EA">
      <w:pPr>
        <w:pageBreakBefore w:val="0"/>
        <w:wordWrap/>
        <w:topLinePunct w:val="0"/>
        <w:bidi w:val="0"/>
        <w:adjustRightInd w:val="0"/>
        <w:snapToGrid w:val="0"/>
        <w:spacing w:line="560" w:lineRule="exact"/>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致：南方医科大学中西医结合医院</w:t>
      </w:r>
    </w:p>
    <w:p w14:paraId="2CF89086">
      <w:pPr>
        <w:pageBreakBefore w:val="0"/>
        <w:wordWrap/>
        <w:topLinePunct w:val="0"/>
        <w:bidi w:val="0"/>
        <w:adjustRightInd w:val="0"/>
        <w:snapToGrid w:val="0"/>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同志，现任我单位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职务，为法定代表人，特此证明。</w:t>
      </w:r>
    </w:p>
    <w:p w14:paraId="205AD80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签发日期：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（盖章）</w:t>
      </w:r>
    </w:p>
    <w:p w14:paraId="177DD999">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5FE1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3830B5E7">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身份证号码： </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0D85A77E">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r>
      <w:tr w14:paraId="2D00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4FA259A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代表人性别：</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32D96550">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r>
      <w:tr w14:paraId="71C3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2" w:space="0"/>
            </w:tcBorders>
            <w:noWrap w:val="0"/>
            <w:vAlign w:val="center"/>
          </w:tcPr>
          <w:p w14:paraId="7BA95AD5">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营业执照号码：</w:t>
            </w:r>
          </w:p>
        </w:tc>
        <w:tc>
          <w:tcPr>
            <w:tcW w:w="4290" w:type="dxa"/>
            <w:tcBorders>
              <w:top w:val="single" w:color="auto" w:sz="4" w:space="0"/>
              <w:left w:val="single" w:color="auto" w:sz="2" w:space="0"/>
              <w:bottom w:val="single" w:color="auto" w:sz="4" w:space="0"/>
              <w:right w:val="single" w:color="auto" w:sz="4" w:space="0"/>
            </w:tcBorders>
            <w:noWrap w:val="0"/>
            <w:vAlign w:val="center"/>
          </w:tcPr>
          <w:p w14:paraId="0BB5C8D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经济性质：</w:t>
            </w:r>
          </w:p>
        </w:tc>
      </w:tr>
    </w:tbl>
    <w:p w14:paraId="0B7C821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szCs w:val="21"/>
          <w:highlight w:val="none"/>
        </w:rPr>
      </w:pPr>
    </w:p>
    <w:p w14:paraId="18CD0E5D">
      <w:pPr>
        <w:pageBreakBefore w:val="0"/>
        <w:wordWrap/>
        <w:topLinePunct w:val="0"/>
        <w:bidi w:val="0"/>
        <w:adjustRightInd w:val="0"/>
        <w:snapToGrid w:val="0"/>
        <w:spacing w:line="560" w:lineRule="exact"/>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【说 明】1.法定代表人为企业事业单位、国家机关、社会团体的主要行政负责人。</w:t>
      </w:r>
    </w:p>
    <w:p w14:paraId="562D2899">
      <w:pPr>
        <w:pageBreakBefore w:val="0"/>
        <w:wordWrap/>
        <w:topLinePunct w:val="0"/>
        <w:bidi w:val="0"/>
        <w:adjustRightInd w:val="0"/>
        <w:snapToGrid w:val="0"/>
        <w:spacing w:line="560" w:lineRule="exact"/>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         2.所填内容必须真实、清楚，不得涂改。</w:t>
      </w:r>
    </w:p>
    <w:p w14:paraId="4D45B406">
      <w:pPr>
        <w:pageBreakBefore w:val="0"/>
        <w:wordWrap/>
        <w:topLinePunct w:val="0"/>
        <w:bidi w:val="0"/>
        <w:adjustRightInd w:val="0"/>
        <w:snapToGrid w:val="0"/>
        <w:spacing w:line="560" w:lineRule="exact"/>
        <w:ind w:left="-105" w:leftChars="-50" w:firstLine="1080" w:firstLineChars="450"/>
        <w:textAlignment w:val="auto"/>
        <w:rPr>
          <w:rFonts w:hint="eastAsia" w:ascii="仿宋_GB2312" w:hAnsi="仿宋_GB2312" w:eastAsia="仿宋_GB2312" w:cs="仿宋_GB2312"/>
          <w:color w:val="auto"/>
          <w:sz w:val="24"/>
          <w:szCs w:val="21"/>
          <w:highlight w:val="none"/>
          <w:lang w:eastAsia="zh-CN"/>
        </w:rPr>
      </w:pPr>
      <w:r>
        <w:rPr>
          <w:rFonts w:hint="eastAsia" w:ascii="仿宋_GB2312" w:hAnsi="仿宋_GB2312" w:eastAsia="仿宋_GB2312" w:cs="仿宋_GB2312"/>
          <w:color w:val="auto"/>
          <w:sz w:val="24"/>
          <w:szCs w:val="21"/>
          <w:highlight w:val="none"/>
        </w:rPr>
        <w:t>3.为避免废标，请参选人务必提供本附件</w:t>
      </w:r>
      <w:r>
        <w:rPr>
          <w:rFonts w:hint="eastAsia" w:ascii="仿宋_GB2312" w:hAnsi="仿宋_GB2312" w:eastAsia="仿宋_GB2312" w:cs="仿宋_GB2312"/>
          <w:color w:val="auto"/>
          <w:sz w:val="24"/>
          <w:szCs w:val="21"/>
          <w:highlight w:val="none"/>
          <w:lang w:eastAsia="zh-CN"/>
        </w:rPr>
        <w:t>。</w:t>
      </w:r>
    </w:p>
    <w:p w14:paraId="64068127">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94615</wp:posOffset>
                </wp:positionV>
                <wp:extent cx="2790825" cy="1982470"/>
                <wp:effectExtent l="4445" t="4445" r="8890" b="9525"/>
                <wp:wrapNone/>
                <wp:docPr id="3" name="流程图: 可选过程 3"/>
                <wp:cNvGraphicFramePr/>
                <a:graphic xmlns:a="http://schemas.openxmlformats.org/drawingml/2006/main">
                  <a:graphicData uri="http://schemas.microsoft.com/office/word/2010/wordprocessingShape">
                    <wps:wsp>
                      <wps:cNvSpPr/>
                      <wps:spPr>
                        <a:xfrm>
                          <a:off x="0" y="0"/>
                          <a:ext cx="2790825" cy="1982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A1AC8C">
                            <w:pPr>
                              <w:jc w:val="center"/>
                              <w:rPr>
                                <w:rFonts w:hAnsi="宋体"/>
                                <w:szCs w:val="21"/>
                              </w:rPr>
                            </w:pPr>
                          </w:p>
                          <w:p w14:paraId="24159BAB">
                            <w:pPr>
                              <w:jc w:val="center"/>
                              <w:rPr>
                                <w:rFonts w:hAnsi="宋体"/>
                                <w:szCs w:val="21"/>
                              </w:rPr>
                            </w:pPr>
                          </w:p>
                          <w:p w14:paraId="16E72B08">
                            <w:pPr>
                              <w:jc w:val="center"/>
                              <w:rPr>
                                <w:rFonts w:hAnsi="宋体"/>
                                <w:szCs w:val="21"/>
                              </w:rPr>
                            </w:pPr>
                          </w:p>
                          <w:p w14:paraId="445457D0">
                            <w:pPr>
                              <w:jc w:val="center"/>
                              <w:rPr>
                                <w:rFonts w:hint="eastAsia" w:ascii="楷体_GB2312" w:hAnsi="宋体" w:eastAsia="楷体_GB2312"/>
                                <w:szCs w:val="21"/>
                              </w:rPr>
                            </w:pPr>
                          </w:p>
                          <w:p w14:paraId="7F834272">
                            <w:pPr>
                              <w:jc w:val="center"/>
                              <w:rPr>
                                <w:rFonts w:hint="eastAsia" w:ascii="楷体_GB2312" w:hAnsi="宋体" w:eastAsia="楷体_GB2312"/>
                                <w:szCs w:val="21"/>
                              </w:rPr>
                            </w:pPr>
                          </w:p>
                          <w:p w14:paraId="0C2AACEE">
                            <w:pPr>
                              <w:jc w:val="center"/>
                              <w:rPr>
                                <w:rFonts w:hint="eastAsia" w:ascii="楷体_GB2312" w:eastAsia="楷体_GB2312"/>
                                <w:szCs w:val="21"/>
                              </w:rPr>
                            </w:pPr>
                            <w:r>
                              <w:rPr>
                                <w:rFonts w:hint="eastAsia" w:ascii="楷体_GB2312" w:hAnsi="宋体" w:eastAsia="楷体_GB2312"/>
                                <w:szCs w:val="21"/>
                              </w:rPr>
                              <w:t>法定代表人身份证复印件</w:t>
                            </w:r>
                          </w:p>
                        </w:txbxContent>
                      </wps:txbx>
                      <wps:bodyPr upright="1"/>
                    </wps:wsp>
                  </a:graphicData>
                </a:graphic>
              </wp:anchor>
            </w:drawing>
          </mc:Choice>
          <mc:Fallback>
            <w:pict>
              <v:shape id="_x0000_s1026" o:spid="_x0000_s1026" o:spt="176" type="#_x0000_t176" style="position:absolute;left:0pt;margin-left:99pt;margin-top:7.45pt;height:156.1pt;width:219.75pt;z-index:251659264;mso-width-relative:page;mso-height-relative:page;" fillcolor="#FFFFFF" filled="t" stroked="t" coordsize="21600,21600" o:gfxdata="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UbDdgAAAAKAQAADwAAAAAAAAABACAAAAAiAAAAZHJzL2Rvd25yZXYueG1sUEsBAhQA&#10;FAAAAAgAh07iQISTWAsrAgAAUAQAAA4AAAAAAAAAAQAgAAAAJwEAAGRycy9lMm9Eb2MueG1sUEsF&#10;BgAAAAAGAAYAWQEAAMQFAAAAAA==&#10;">
                <v:fill on="t" focussize="0,0"/>
                <v:stroke color="#000000" joinstyle="miter"/>
                <v:imagedata o:title=""/>
                <o:lock v:ext="edit" aspectratio="f"/>
                <v:textbox>
                  <w:txbxContent>
                    <w:p w14:paraId="05A1AC8C">
                      <w:pPr>
                        <w:jc w:val="center"/>
                        <w:rPr>
                          <w:rFonts w:hAnsi="宋体"/>
                          <w:szCs w:val="21"/>
                        </w:rPr>
                      </w:pPr>
                    </w:p>
                    <w:p w14:paraId="24159BAB">
                      <w:pPr>
                        <w:jc w:val="center"/>
                        <w:rPr>
                          <w:rFonts w:hAnsi="宋体"/>
                          <w:szCs w:val="21"/>
                        </w:rPr>
                      </w:pPr>
                    </w:p>
                    <w:p w14:paraId="16E72B08">
                      <w:pPr>
                        <w:jc w:val="center"/>
                        <w:rPr>
                          <w:rFonts w:hAnsi="宋体"/>
                          <w:szCs w:val="21"/>
                        </w:rPr>
                      </w:pPr>
                    </w:p>
                    <w:p w14:paraId="445457D0">
                      <w:pPr>
                        <w:jc w:val="center"/>
                        <w:rPr>
                          <w:rFonts w:hint="eastAsia" w:ascii="楷体_GB2312" w:hAnsi="宋体" w:eastAsia="楷体_GB2312"/>
                          <w:szCs w:val="21"/>
                        </w:rPr>
                      </w:pPr>
                    </w:p>
                    <w:p w14:paraId="7F834272">
                      <w:pPr>
                        <w:jc w:val="center"/>
                        <w:rPr>
                          <w:rFonts w:hint="eastAsia" w:ascii="楷体_GB2312" w:hAnsi="宋体" w:eastAsia="楷体_GB2312"/>
                          <w:szCs w:val="21"/>
                        </w:rPr>
                      </w:pPr>
                    </w:p>
                    <w:p w14:paraId="0C2AACEE">
                      <w:pPr>
                        <w:jc w:val="center"/>
                        <w:rPr>
                          <w:rFonts w:hint="eastAsia" w:ascii="楷体_GB2312" w:eastAsia="楷体_GB2312"/>
                          <w:szCs w:val="21"/>
                        </w:rPr>
                      </w:pPr>
                      <w:r>
                        <w:rPr>
                          <w:rFonts w:hint="eastAsia" w:ascii="楷体_GB2312" w:hAnsi="宋体" w:eastAsia="楷体_GB2312"/>
                          <w:szCs w:val="21"/>
                        </w:rPr>
                        <w:t>法定代表人身份证复印件</w:t>
                      </w:r>
                    </w:p>
                  </w:txbxContent>
                </v:textbox>
              </v:shape>
            </w:pict>
          </mc:Fallback>
        </mc:AlternateContent>
      </w:r>
    </w:p>
    <w:p w14:paraId="7CA0B861">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6319B454">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3A2744B1">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3B153182">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1F640FC9">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2376004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p>
    <w:p w14:paraId="2BF0A676">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72A87572">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39CCFC7C">
      <w:pPr>
        <w:pageBreakBefore w:val="0"/>
        <w:wordWrap/>
        <w:topLinePunct w:val="0"/>
        <w:bidi w:val="0"/>
        <w:adjustRightInd w:val="0"/>
        <w:snapToGrid w:val="0"/>
        <w:spacing w:line="560" w:lineRule="exact"/>
        <w:jc w:val="righ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CB9E57F">
      <w:pPr>
        <w:pageBreakBefore w:val="0"/>
        <w:wordWrap/>
        <w:topLinePunct w:val="0"/>
        <w:bidi w:val="0"/>
        <w:adjustRightInd w:val="0"/>
        <w:snapToGrid w:val="0"/>
        <w:spacing w:line="560" w:lineRule="exact"/>
        <w:jc w:val="center"/>
        <w:textAlignment w:val="auto"/>
        <w:rPr>
          <w:rFonts w:hint="eastAsia" w:ascii="Arial Unicode MS" w:hAnsi="Arial Unicode MS" w:cs="宋体"/>
          <w:b/>
          <w:bCs/>
          <w:color w:val="auto"/>
          <w:sz w:val="24"/>
          <w:highlight w:val="none"/>
        </w:rPr>
      </w:pPr>
      <w:r>
        <w:rPr>
          <w:rFonts w:hint="eastAsia" w:ascii="Arial Unicode MS" w:hAnsi="Arial Unicode MS" w:cs="宋体"/>
          <w:bCs/>
          <w:color w:val="auto"/>
          <w:sz w:val="24"/>
          <w:szCs w:val="32"/>
          <w:highlight w:val="none"/>
        </w:rPr>
        <w:br w:type="page"/>
      </w:r>
      <w:bookmarkStart w:id="0" w:name="_Toc3343"/>
      <w:r>
        <w:rPr>
          <w:rFonts w:hint="eastAsia" w:ascii="方正公文小标宋" w:hAnsi="方正公文小标宋" w:eastAsia="方正公文小标宋" w:cs="方正公文小标宋"/>
          <w:bCs/>
          <w:color w:val="auto"/>
          <w:sz w:val="44"/>
          <w:szCs w:val="44"/>
          <w:highlight w:val="none"/>
        </w:rPr>
        <w:t>参选人法定代表人授权委托书</w:t>
      </w:r>
      <w:bookmarkEnd w:id="0"/>
    </w:p>
    <w:p w14:paraId="2D810F2B">
      <w:pPr>
        <w:pageBreakBefore w:val="0"/>
        <w:wordWrap/>
        <w:topLinePunct w:val="0"/>
        <w:bidi w:val="0"/>
        <w:adjustRightInd w:val="0"/>
        <w:snapToGrid w:val="0"/>
        <w:spacing w:line="560" w:lineRule="exact"/>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致：南方医科大学中西医结合医院</w:t>
      </w:r>
    </w:p>
    <w:p w14:paraId="1B448EAC">
      <w:pPr>
        <w:pageBreakBefore w:val="0"/>
        <w:wordWrap/>
        <w:topLinePunct w:val="0"/>
        <w:bidi w:val="0"/>
        <w:adjustRightInd w:val="0"/>
        <w:snapToGrid w:val="0"/>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兹授权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同志，为我方签订经济合同及办理其他事务代理人，其权限是：</w:t>
      </w:r>
      <w:r>
        <w:rPr>
          <w:rFonts w:hint="eastAsia" w:ascii="仿宋_GB2312" w:hAnsi="仿宋_GB2312" w:eastAsia="仿宋_GB2312" w:cs="仿宋_GB2312"/>
          <w:color w:val="auto"/>
          <w:sz w:val="24"/>
          <w:highlight w:val="none"/>
          <w:u w:val="single"/>
        </w:rPr>
        <w:t>全权代表我司参与本项目的参选，负责提供与签署确认一切文书资料，以及向贵方递交的任何补充承诺</w:t>
      </w:r>
      <w:r>
        <w:rPr>
          <w:rFonts w:hint="eastAsia" w:ascii="仿宋_GB2312" w:hAnsi="仿宋_GB2312" w:eastAsia="仿宋_GB2312" w:cs="仿宋_GB2312"/>
          <w:color w:val="auto"/>
          <w:sz w:val="24"/>
          <w:highlight w:val="none"/>
        </w:rPr>
        <w:t>。</w:t>
      </w:r>
    </w:p>
    <w:p w14:paraId="076E078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（盖章）     法定代表人：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（签名或盖私章）</w:t>
      </w:r>
    </w:p>
    <w:p w14:paraId="1D37C84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有效期限：至</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     签 发日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6EDBAEA">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0B29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419B0B8A">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身份证号码： </w:t>
            </w:r>
          </w:p>
        </w:tc>
        <w:tc>
          <w:tcPr>
            <w:tcW w:w="4290" w:type="dxa"/>
            <w:noWrap w:val="0"/>
            <w:vAlign w:val="center"/>
          </w:tcPr>
          <w:p w14:paraId="08540C12">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r>
      <w:tr w14:paraId="2525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2072675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代表人性别：</w:t>
            </w:r>
          </w:p>
        </w:tc>
        <w:tc>
          <w:tcPr>
            <w:tcW w:w="4290" w:type="dxa"/>
            <w:tcBorders>
              <w:bottom w:val="single" w:color="auto" w:sz="4" w:space="0"/>
            </w:tcBorders>
            <w:noWrap w:val="0"/>
            <w:vAlign w:val="center"/>
          </w:tcPr>
          <w:p w14:paraId="6888A8B7">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r>
      <w:tr w14:paraId="40E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right w:val="single" w:color="auto" w:sz="2" w:space="0"/>
            </w:tcBorders>
            <w:noWrap w:val="0"/>
            <w:vAlign w:val="center"/>
          </w:tcPr>
          <w:p w14:paraId="6087D291">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营业执照号码：</w:t>
            </w:r>
          </w:p>
        </w:tc>
        <w:tc>
          <w:tcPr>
            <w:tcW w:w="4290" w:type="dxa"/>
            <w:tcBorders>
              <w:left w:val="single" w:color="auto" w:sz="2" w:space="0"/>
            </w:tcBorders>
            <w:noWrap w:val="0"/>
            <w:vAlign w:val="center"/>
          </w:tcPr>
          <w:p w14:paraId="59A723B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经济性质：</w:t>
            </w:r>
          </w:p>
        </w:tc>
      </w:tr>
    </w:tbl>
    <w:p w14:paraId="40D3B812">
      <w:pPr>
        <w:pageBreakBefore w:val="0"/>
        <w:wordWrap/>
        <w:topLinePunct w:val="0"/>
        <w:bidi w:val="0"/>
        <w:adjustRightInd w:val="0"/>
        <w:snapToGrid w:val="0"/>
        <w:spacing w:line="240" w:lineRule="auto"/>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【说 明】1.法定代表人为企业事业单位、国家机关、社会团体的主要行政负责人。</w:t>
      </w:r>
    </w:p>
    <w:p w14:paraId="2DF92F3F">
      <w:pPr>
        <w:pageBreakBefore w:val="0"/>
        <w:wordWrap/>
        <w:topLinePunct w:val="0"/>
        <w:bidi w:val="0"/>
        <w:adjustRightInd w:val="0"/>
        <w:snapToGrid w:val="0"/>
        <w:spacing w:line="240" w:lineRule="auto"/>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         2.所填内容必须填写真实、清楚，不得涂改。</w:t>
      </w:r>
    </w:p>
    <w:p w14:paraId="5C83D712">
      <w:pPr>
        <w:pageBreakBefore w:val="0"/>
        <w:wordWrap/>
        <w:topLinePunct w:val="0"/>
        <w:bidi w:val="0"/>
        <w:adjustRightInd w:val="0"/>
        <w:snapToGrid w:val="0"/>
        <w:spacing w:line="240" w:lineRule="auto"/>
        <w:ind w:firstLine="960" w:firstLineChars="40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3.有效期限：与本公司参选文件中标注的参选有效期相同，自本单位递交参选文件之日起生效。</w:t>
      </w:r>
    </w:p>
    <w:p w14:paraId="70F902F6">
      <w:pPr>
        <w:pageBreakBefore w:val="0"/>
        <w:wordWrap/>
        <w:topLinePunct w:val="0"/>
        <w:bidi w:val="0"/>
        <w:adjustRightInd w:val="0"/>
        <w:snapToGrid w:val="0"/>
        <w:spacing w:line="240" w:lineRule="auto"/>
        <w:ind w:left="-105" w:leftChars="-50" w:firstLine="1080" w:firstLineChars="4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4.参选人签字代表为法定代表人，则本附件不需提交。</w:t>
      </w:r>
    </w:p>
    <w:p w14:paraId="0D1DB5A9">
      <w:pPr>
        <w:pageBreakBefore w:val="0"/>
        <w:wordWrap/>
        <w:topLinePunct w:val="0"/>
        <w:bidi w:val="0"/>
        <w:adjustRightInd w:val="0"/>
        <w:snapToGrid w:val="0"/>
        <w:spacing w:line="560" w:lineRule="exact"/>
        <w:ind w:firstLine="42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26035</wp:posOffset>
                </wp:positionV>
                <wp:extent cx="2628900" cy="1584960"/>
                <wp:effectExtent l="4445" t="5080" r="10795" b="10160"/>
                <wp:wrapNone/>
                <wp:docPr id="4" name="流程图: 可选过程 4"/>
                <wp:cNvGraphicFramePr/>
                <a:graphic xmlns:a="http://schemas.openxmlformats.org/drawingml/2006/main">
                  <a:graphicData uri="http://schemas.microsoft.com/office/word/2010/wordprocessingShape">
                    <wps:wsp>
                      <wps:cNvSpPr/>
                      <wps:spPr>
                        <a:xfrm>
                          <a:off x="0" y="0"/>
                          <a:ext cx="2628900" cy="158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195760">
                            <w:pPr>
                              <w:jc w:val="center"/>
                              <w:rPr>
                                <w:rFonts w:hAnsi="宋体"/>
                                <w:szCs w:val="21"/>
                              </w:rPr>
                            </w:pPr>
                          </w:p>
                          <w:p w14:paraId="09EDEE43">
                            <w:pPr>
                              <w:jc w:val="center"/>
                              <w:rPr>
                                <w:rFonts w:hAnsi="宋体"/>
                                <w:szCs w:val="21"/>
                              </w:rPr>
                            </w:pPr>
                          </w:p>
                          <w:p w14:paraId="52D55F4C">
                            <w:pPr>
                              <w:jc w:val="center"/>
                              <w:rPr>
                                <w:rFonts w:hint="eastAsia" w:hAnsi="宋体"/>
                                <w:szCs w:val="21"/>
                              </w:rPr>
                            </w:pPr>
                          </w:p>
                          <w:p w14:paraId="2C00889C">
                            <w:pPr>
                              <w:jc w:val="center"/>
                              <w:rPr>
                                <w:rFonts w:hint="eastAsia" w:hAnsi="宋体"/>
                                <w:szCs w:val="21"/>
                              </w:rPr>
                            </w:pPr>
                          </w:p>
                          <w:p w14:paraId="7DAF2EE1">
                            <w:pPr>
                              <w:jc w:val="center"/>
                              <w:rPr>
                                <w:rFonts w:hint="eastAsia" w:ascii="楷体_GB2312" w:eastAsia="楷体_GB2312"/>
                                <w:szCs w:val="21"/>
                              </w:rPr>
                            </w:pPr>
                            <w:r>
                              <w:rPr>
                                <w:rFonts w:hint="eastAsia" w:ascii="楷体_GB2312" w:hAnsi="宋体" w:eastAsia="楷体_GB2312"/>
                                <w:szCs w:val="21"/>
                              </w:rPr>
                              <w:t>授权代表身份证复印件</w:t>
                            </w:r>
                          </w:p>
                        </w:txbxContent>
                      </wps:txbx>
                      <wps:bodyPr upright="1"/>
                    </wps:wsp>
                  </a:graphicData>
                </a:graphic>
              </wp:anchor>
            </w:drawing>
          </mc:Choice>
          <mc:Fallback>
            <w:pict>
              <v:shape id="_x0000_s1026" o:spid="_x0000_s1026" o:spt="176" type="#_x0000_t176" style="position:absolute;left:0pt;margin-left:126pt;margin-top:2.05pt;height:124.8pt;width:207pt;z-index:251660288;mso-width-relative:page;mso-height-relative:page;" fillcolor="#FFFFFF" filled="t" stroked="t" coordsize="21600,21600" o:gfxdata="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FXfo7XAAAACQEAAA8AAAAAAAAAAQAgAAAAIgAAAGRycy9kb3ducmV2LnhtbFBLAQIUABQA&#10;AAAIAIdO4kBBJFxTKgIAAFAEAAAOAAAAAAAAAAEAIAAAACYBAABkcnMvZTJvRG9jLnhtbFBLBQYA&#10;AAAABgAGAFkBAADCBQAAAAA=&#10;">
                <v:fill on="t" focussize="0,0"/>
                <v:stroke color="#000000" joinstyle="miter"/>
                <v:imagedata o:title=""/>
                <o:lock v:ext="edit" aspectratio="f"/>
                <v:textbox>
                  <w:txbxContent>
                    <w:p w14:paraId="05195760">
                      <w:pPr>
                        <w:jc w:val="center"/>
                        <w:rPr>
                          <w:rFonts w:hAnsi="宋体"/>
                          <w:szCs w:val="21"/>
                        </w:rPr>
                      </w:pPr>
                    </w:p>
                    <w:p w14:paraId="09EDEE43">
                      <w:pPr>
                        <w:jc w:val="center"/>
                        <w:rPr>
                          <w:rFonts w:hAnsi="宋体"/>
                          <w:szCs w:val="21"/>
                        </w:rPr>
                      </w:pPr>
                    </w:p>
                    <w:p w14:paraId="52D55F4C">
                      <w:pPr>
                        <w:jc w:val="center"/>
                        <w:rPr>
                          <w:rFonts w:hint="eastAsia" w:hAnsi="宋体"/>
                          <w:szCs w:val="21"/>
                        </w:rPr>
                      </w:pPr>
                    </w:p>
                    <w:p w14:paraId="2C00889C">
                      <w:pPr>
                        <w:jc w:val="center"/>
                        <w:rPr>
                          <w:rFonts w:hint="eastAsia" w:hAnsi="宋体"/>
                          <w:szCs w:val="21"/>
                        </w:rPr>
                      </w:pPr>
                    </w:p>
                    <w:p w14:paraId="7DAF2EE1">
                      <w:pPr>
                        <w:jc w:val="center"/>
                        <w:rPr>
                          <w:rFonts w:hint="eastAsia" w:ascii="楷体_GB2312" w:eastAsia="楷体_GB2312"/>
                          <w:szCs w:val="21"/>
                        </w:rPr>
                      </w:pPr>
                      <w:r>
                        <w:rPr>
                          <w:rFonts w:hint="eastAsia" w:ascii="楷体_GB2312" w:hAnsi="宋体" w:eastAsia="楷体_GB2312"/>
                          <w:szCs w:val="21"/>
                        </w:rPr>
                        <w:t>授权代表身份证复印件</w:t>
                      </w:r>
                    </w:p>
                  </w:txbxContent>
                </v:textbox>
              </v:shape>
            </w:pict>
          </mc:Fallback>
        </mc:AlternateContent>
      </w:r>
    </w:p>
    <w:p w14:paraId="789E6820">
      <w:pPr>
        <w:pageBreakBefore w:val="0"/>
        <w:wordWrap/>
        <w:topLinePunct w:val="0"/>
        <w:bidi w:val="0"/>
        <w:adjustRightInd w:val="0"/>
        <w:snapToGrid w:val="0"/>
        <w:spacing w:line="560" w:lineRule="exact"/>
        <w:ind w:firstLine="420"/>
        <w:textAlignment w:val="auto"/>
        <w:rPr>
          <w:rFonts w:hint="eastAsia" w:ascii="仿宋_GB2312" w:hAnsi="仿宋_GB2312" w:eastAsia="仿宋_GB2312" w:cs="仿宋_GB2312"/>
          <w:color w:val="auto"/>
          <w:sz w:val="24"/>
          <w:highlight w:val="none"/>
          <w:u w:val="single"/>
        </w:rPr>
      </w:pPr>
    </w:p>
    <w:p w14:paraId="55C5CD32">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color w:val="auto"/>
          <w:sz w:val="24"/>
          <w:szCs w:val="30"/>
          <w:highlight w:val="none"/>
        </w:rPr>
      </w:pPr>
    </w:p>
    <w:p w14:paraId="35C236F0">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30"/>
          <w:highlight w:val="none"/>
        </w:rPr>
      </w:pPr>
    </w:p>
    <w:p w14:paraId="0BBAFFF5">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30"/>
          <w:highlight w:val="none"/>
        </w:rPr>
      </w:pPr>
    </w:p>
    <w:p w14:paraId="7848E445">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0DF896F0">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1070FECF">
      <w:pPr>
        <w:pageBreakBefore w:val="0"/>
        <w:wordWrap/>
        <w:topLinePunct w:val="0"/>
        <w:bidi w:val="0"/>
        <w:adjustRightInd w:val="0"/>
        <w:snapToGrid w:val="0"/>
        <w:spacing w:line="560" w:lineRule="exact"/>
        <w:jc w:val="right"/>
        <w:textAlignment w:val="auto"/>
        <w:rPr>
          <w:rFonts w:hint="eastAsia"/>
          <w:lang w:val="en-US" w:eastAsia="zh-CN"/>
        </w:rPr>
      </w:pPr>
      <w:r>
        <w:rPr>
          <w:rFonts w:hint="eastAsia" w:ascii="仿宋_GB2312" w:hAnsi="仿宋_GB2312" w:eastAsia="仿宋_GB2312" w:cs="仿宋_GB2312"/>
          <w:color w:val="auto"/>
          <w:sz w:val="24"/>
          <w:highlight w:val="none"/>
        </w:rPr>
        <w:t xml:space="preserve">日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B5B231B">
      <w:pPr>
        <w:pStyle w:val="3"/>
        <w:bidi w:val="0"/>
        <w:rPr>
          <w:rFonts w:hint="eastAsia"/>
          <w:lang w:val="en-US" w:eastAsia="zh-CN"/>
        </w:rPr>
      </w:pPr>
      <w:r>
        <w:rPr>
          <w:rFonts w:hint="eastAsia"/>
          <w:lang w:val="en-US" w:eastAsia="zh-CN"/>
        </w:rPr>
        <w:t>七、供应商资格声明函模板</w:t>
      </w:r>
    </w:p>
    <w:p w14:paraId="0F96DA62">
      <w:pPr>
        <w:widowControl w:val="0"/>
        <w:wordWrap w:val="0"/>
        <w:spacing w:line="360" w:lineRule="auto"/>
        <w:jc w:val="center"/>
        <w:rPr>
          <w:rFonts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供应商资格声明函</w:t>
      </w:r>
    </w:p>
    <w:p w14:paraId="78CDF6A4">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lang w:val="en-US" w:eastAsia="zh-CN"/>
        </w:rPr>
        <w:t>南方医科大学中西医结合医院</w:t>
      </w:r>
      <w:r>
        <w:rPr>
          <w:rFonts w:hint="eastAsia" w:ascii="宋体" w:hAnsi="宋体" w:eastAsia="宋体" w:cs="Times New Roman"/>
          <w:b/>
          <w:color w:val="000000"/>
          <w:sz w:val="24"/>
          <w:szCs w:val="22"/>
          <w:highlight w:val="none"/>
        </w:rPr>
        <w:t>：</w:t>
      </w:r>
    </w:p>
    <w:p w14:paraId="4AE9FA5F">
      <w:pPr>
        <w:wordWrap w:val="0"/>
        <w:snapToGrid w:val="0"/>
        <w:spacing w:line="360" w:lineRule="auto"/>
        <w:ind w:firstLine="480" w:firstLineChars="200"/>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关于贵方发布</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2"/>
          <w:highlight w:val="none"/>
        </w:rPr>
        <w:t>[采购文件编号：</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2"/>
          <w:highlight w:val="none"/>
        </w:rPr>
        <w:t>的</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公告，本单位愿意参加上述项目</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eastAsia="zh-CN"/>
        </w:rPr>
        <w:t>采购包</w:t>
      </w:r>
      <w:r>
        <w:rPr>
          <w:rFonts w:hint="eastAsia" w:ascii="Times New Roman" w:hAnsi="宋体" w:eastAsia="宋体" w:cs="Times New Roman"/>
          <w:color w:val="000000"/>
          <w:sz w:val="24"/>
          <w:szCs w:val="24"/>
          <w:highlight w:val="none"/>
        </w:rPr>
        <w:t>号</w:t>
      </w:r>
      <w:r>
        <w:rPr>
          <w:rFonts w:hint="eastAsia" w:ascii="Times New Roman" w:hAnsi="宋体" w:eastAsia="宋体" w:cs="Times New Roman"/>
          <w:i/>
          <w:color w:val="000000"/>
          <w:sz w:val="24"/>
          <w:szCs w:val="24"/>
          <w:highlight w:val="none"/>
          <w:u w:val="single"/>
        </w:rPr>
        <w:t>（如有，填写</w:t>
      </w:r>
      <w:r>
        <w:rPr>
          <w:rFonts w:hint="eastAsia" w:ascii="Times New Roman" w:hAnsi="宋体" w:eastAsia="宋体" w:cs="Times New Roman"/>
          <w:i/>
          <w:color w:val="000000"/>
          <w:sz w:val="24"/>
          <w:szCs w:val="24"/>
          <w:highlight w:val="none"/>
          <w:u w:val="single"/>
          <w:lang w:eastAsia="zh-CN"/>
        </w:rPr>
        <w:t>响应采购包</w:t>
      </w:r>
      <w:r>
        <w:rPr>
          <w:rFonts w:hint="eastAsia" w:ascii="Times New Roman" w:hAnsi="宋体" w:eastAsia="宋体" w:cs="Times New Roman"/>
          <w:i/>
          <w:color w:val="000000"/>
          <w:sz w:val="24"/>
          <w:szCs w:val="24"/>
          <w:highlight w:val="none"/>
          <w:u w:val="single"/>
        </w:rPr>
        <w:t>号）</w:t>
      </w:r>
      <w:r>
        <w:rPr>
          <w:rFonts w:hint="eastAsia" w:ascii="Times New Roman" w:hAnsi="宋体" w:eastAsia="宋体" w:cs="Times New Roman"/>
          <w:i/>
          <w:color w:val="000000"/>
          <w:sz w:val="24"/>
          <w:szCs w:val="24"/>
          <w:highlight w:val="none"/>
          <w:u w:val="single"/>
          <w:lang w:val="en-US" w:eastAsia="zh-CN"/>
        </w:rPr>
        <w:t>响应</w:t>
      </w:r>
      <w:r>
        <w:rPr>
          <w:rFonts w:hint="eastAsia" w:ascii="宋体" w:hAnsi="宋体" w:eastAsia="宋体" w:cs="Times New Roman"/>
          <w:color w:val="000000"/>
          <w:sz w:val="24"/>
          <w:szCs w:val="22"/>
          <w:highlight w:val="none"/>
        </w:rPr>
        <w:t>，并已清楚</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文件的要求及有关文件规定，声明如下：</w:t>
      </w:r>
    </w:p>
    <w:p w14:paraId="717B5883">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（一）我方具备《中华人民共和国政府采购法》第二十二条所规定的条件（</w:t>
      </w:r>
      <w:r>
        <w:rPr>
          <w:rFonts w:hint="eastAsia" w:ascii="宋体" w:hAnsi="宋体" w:eastAsia="宋体" w:cs="宋体"/>
          <w:color w:val="000000"/>
          <w:kern w:val="0"/>
          <w:sz w:val="24"/>
          <w:szCs w:val="24"/>
          <w:highlight w:val="none"/>
          <w:lang w:val="en-US" w:eastAsia="zh-CN" w:bidi="ar-SA"/>
        </w:rPr>
        <w:t>说明：若接受联合体响应且为联合体响应的，各方均需满足）</w:t>
      </w:r>
      <w:r>
        <w:rPr>
          <w:rFonts w:hint="eastAsia" w:ascii="宋体" w:hAnsi="宋体" w:eastAsia="宋体" w:cs="Times New Roman"/>
          <w:color w:val="000000"/>
          <w:kern w:val="2"/>
          <w:sz w:val="24"/>
          <w:szCs w:val="22"/>
          <w:highlight w:val="none"/>
          <w:lang w:val="en-US" w:eastAsia="zh-CN" w:bidi="ar-SA"/>
        </w:rPr>
        <w:t>：</w:t>
      </w:r>
    </w:p>
    <w:p w14:paraId="2C788DCA">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w:t>
      </w:r>
      <w:r>
        <w:rPr>
          <w:rFonts w:hint="eastAsia" w:ascii="宋体" w:hAnsi="宋体" w:eastAsia="宋体" w:cs="Times New Roman"/>
          <w:color w:val="000000"/>
          <w:kern w:val="2"/>
          <w:sz w:val="24"/>
          <w:szCs w:val="24"/>
          <w:highlight w:val="none"/>
          <w:lang w:val="en-US" w:eastAsia="zh-CN" w:bidi="ar-SA"/>
        </w:rPr>
        <w:t>具有独立承担民事责任的能力；</w:t>
      </w:r>
    </w:p>
    <w:p w14:paraId="055939DF">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（2）具有良好的商业信誉和健全的财务会计制度；</w:t>
      </w:r>
    </w:p>
    <w:p w14:paraId="766B273A">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（3）</w:t>
      </w:r>
      <w:r>
        <w:rPr>
          <w:rFonts w:hint="eastAsia" w:ascii="宋体" w:hAnsi="宋体" w:eastAsia="宋体" w:cs="Times New Roman"/>
          <w:color w:val="000000"/>
          <w:kern w:val="2"/>
          <w:sz w:val="24"/>
          <w:szCs w:val="24"/>
          <w:highlight w:val="none"/>
          <w:lang w:val="en-US" w:eastAsia="zh-CN" w:bidi="ar-SA"/>
        </w:rPr>
        <w:t>有依法缴纳税收和社会保障资金的良好记录；</w:t>
      </w:r>
    </w:p>
    <w:p w14:paraId="4187080F">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1"/>
          <w:highlight w:val="none"/>
          <w:lang w:val="en-US" w:eastAsia="zh-CN" w:bidi="ar-SA"/>
        </w:rPr>
        <w:t>具有履行合同所必需的设备和专业技术能力；</w:t>
      </w:r>
    </w:p>
    <w:p w14:paraId="4EB4D4A2">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5）我方（如前三年内有名称变更的，含变更前名称）参加本项目政府采购活动前三年内在经营活动中没有重大违法记录（重大违法记录是指没有因违法经营受到刑事处罚或责令停产停业、吊销许可证或者执照、较大数额罚款等行政处罚）；</w:t>
      </w:r>
    </w:p>
    <w:p w14:paraId="63795402">
      <w:pPr>
        <w:widowControl w:val="0"/>
        <w:tabs>
          <w:tab w:val="left" w:pos="993"/>
        </w:tabs>
        <w:wordWrap w:val="0"/>
        <w:snapToGri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（二）我方</w:t>
      </w:r>
      <w:r>
        <w:rPr>
          <w:rFonts w:hint="eastAsia" w:ascii="宋体" w:hAnsi="宋体" w:eastAsia="宋体" w:cs="宋体"/>
          <w:color w:val="000000"/>
          <w:kern w:val="0"/>
          <w:sz w:val="24"/>
          <w:szCs w:val="24"/>
          <w:highlight w:val="none"/>
          <w:lang w:val="en-US" w:eastAsia="zh-CN" w:bidi="ar-SA"/>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说明：若接受联合体响应且为联合体响应的，各方均需满足）</w:t>
      </w:r>
    </w:p>
    <w:p w14:paraId="1BF08690">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（三）我方</w:t>
      </w:r>
      <w:r>
        <w:rPr>
          <w:rFonts w:hint="eastAsia" w:ascii="宋体" w:hAnsi="宋体" w:eastAsia="宋体" w:cs="Times New Roman"/>
          <w:color w:val="000000"/>
          <w:kern w:val="2"/>
          <w:sz w:val="24"/>
          <w:szCs w:val="21"/>
          <w:highlight w:val="none"/>
          <w:lang w:val="en-US" w:eastAsia="zh-CN" w:bidi="ar-SA"/>
        </w:rPr>
        <w:t>符合法律、行政法规规定的其他条件</w:t>
      </w:r>
      <w:r>
        <w:rPr>
          <w:rFonts w:hint="eastAsia" w:ascii="宋体" w:hAnsi="宋体" w:eastAsia="宋体" w:cs="Times New Roman"/>
          <w:color w:val="000000"/>
          <w:kern w:val="2"/>
          <w:sz w:val="24"/>
          <w:szCs w:val="22"/>
          <w:highlight w:val="none"/>
          <w:lang w:val="en-US" w:eastAsia="zh-CN" w:bidi="ar-SA"/>
        </w:rPr>
        <w:t>：</w:t>
      </w:r>
    </w:p>
    <w:p w14:paraId="000B9A40">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1）单位负责人为同一人或者存在直接控股、管理关系</w:t>
      </w:r>
      <w:r>
        <w:rPr>
          <w:rFonts w:hint="eastAsia" w:ascii="宋体" w:hAnsi="宋体" w:eastAsia="宋体" w:cs="宋体"/>
          <w:color w:val="000000"/>
          <w:kern w:val="2"/>
          <w:sz w:val="24"/>
          <w:szCs w:val="24"/>
          <w:highlight w:val="none"/>
          <w:lang w:val="en-US" w:eastAsia="zh-CN" w:bidi="ar-SA"/>
        </w:rPr>
        <w:t>的不同供应商，不得同时参加本采购项目（采购包）投标（响应）。</w:t>
      </w:r>
      <w:r>
        <w:rPr>
          <w:rFonts w:hint="eastAsia" w:ascii="宋体" w:hAnsi="宋体" w:eastAsia="宋体" w:cs="宋体"/>
          <w:color w:val="000000"/>
          <w:kern w:val="0"/>
          <w:sz w:val="24"/>
          <w:szCs w:val="24"/>
          <w:highlight w:val="none"/>
          <w:lang w:val="en-US" w:eastAsia="zh-CN" w:bidi="ar-SA"/>
        </w:rPr>
        <w:t>（说明：联合体响应的除外，但不包括以联合体形式部分预留专门面向中小企业的项目（采购包））</w:t>
      </w:r>
    </w:p>
    <w:p w14:paraId="47629812">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2）供应商为采购项目提供整体设计、规范编制或者项目管理、监理、检测等服务，</w:t>
      </w:r>
      <w:r>
        <w:rPr>
          <w:rFonts w:hint="eastAsia" w:ascii="宋体" w:hAnsi="宋体" w:eastAsia="宋体" w:cs="宋体"/>
          <w:color w:val="000000"/>
          <w:kern w:val="2"/>
          <w:sz w:val="24"/>
          <w:szCs w:val="24"/>
          <w:highlight w:val="none"/>
          <w:lang w:val="en-US" w:eastAsia="zh-CN" w:bidi="ar-SA"/>
        </w:rPr>
        <w:t>不得再参加本项目（采购包）投标（响应）</w:t>
      </w:r>
      <w:r>
        <w:rPr>
          <w:rFonts w:hint="eastAsia" w:ascii="宋体" w:hAnsi="宋体" w:eastAsia="宋体" w:cs="Times New Roman"/>
          <w:color w:val="000000"/>
          <w:kern w:val="2"/>
          <w:sz w:val="24"/>
          <w:szCs w:val="21"/>
          <w:highlight w:val="none"/>
          <w:lang w:val="en-US" w:eastAsia="zh-CN" w:bidi="ar-SA"/>
        </w:rPr>
        <w:t>。（说明：若接受联合体响应且为联合体响应的，各方均需满足）</w:t>
      </w:r>
    </w:p>
    <w:p w14:paraId="2FD83DF4">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（四）我方已按采购公告的规定获取了采购文件。</w:t>
      </w:r>
    </w:p>
    <w:p w14:paraId="770F40A9">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（五）</w:t>
      </w:r>
      <w:r>
        <w:rPr>
          <w:rFonts w:hint="eastAsia" w:ascii="宋体" w:hAnsi="宋体" w:eastAsia="宋体" w:cs="Times New Roman"/>
          <w:color w:val="000000"/>
          <w:kern w:val="2"/>
          <w:sz w:val="24"/>
          <w:szCs w:val="22"/>
          <w:highlight w:val="none"/>
          <w:lang w:val="en-US" w:eastAsia="zh-CN" w:bidi="ar-SA"/>
        </w:rPr>
        <w:tab/>
      </w:r>
      <w:r>
        <w:rPr>
          <w:rFonts w:hint="eastAsia" w:ascii="宋体" w:hAnsi="宋体" w:eastAsia="宋体" w:cs="Times New Roman"/>
          <w:color w:val="000000"/>
          <w:kern w:val="2"/>
          <w:sz w:val="24"/>
          <w:szCs w:val="22"/>
          <w:highlight w:val="none"/>
          <w:lang w:val="en-US" w:eastAsia="zh-CN" w:bidi="ar-SA"/>
        </w:rPr>
        <w:t>若本项目不接受联合体报价的，我方承诺以独立供应商名义即非联合体方式参加本项目的响应。</w:t>
      </w:r>
    </w:p>
    <w:p w14:paraId="4847234E">
      <w:pPr>
        <w:wordWrap w:val="0"/>
        <w:snapToGrid w:val="0"/>
        <w:spacing w:line="360" w:lineRule="auto"/>
        <w:ind w:firstLine="484" w:firstLineChars="202"/>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eastAsia="zh-CN"/>
        </w:rPr>
        <w:t>六</w:t>
      </w:r>
      <w:r>
        <w:rPr>
          <w:rFonts w:hint="eastAsia" w:ascii="宋体" w:hAnsi="宋体" w:eastAsia="宋体" w:cs="Times New Roman"/>
          <w:color w:val="000000"/>
          <w:sz w:val="24"/>
          <w:szCs w:val="24"/>
          <w:highlight w:val="none"/>
        </w:rPr>
        <w:t>）我方郑重承诺公平竞争：我方保证所提交的相关资质文件和证明材料的真实性，有良好的历史诚信记录，并将依法参与本项目（</w:t>
      </w:r>
      <w:r>
        <w:rPr>
          <w:rFonts w:hint="eastAsia" w:ascii="宋体" w:hAnsi="宋体" w:eastAsia="宋体" w:cs="Times New Roman"/>
          <w:color w:val="000000"/>
          <w:sz w:val="24"/>
          <w:szCs w:val="24"/>
          <w:highlight w:val="none"/>
          <w:lang w:eastAsia="zh-CN"/>
        </w:rPr>
        <w:t>采购包</w:t>
      </w:r>
      <w:r>
        <w:rPr>
          <w:rFonts w:hint="eastAsia" w:ascii="宋体" w:hAnsi="宋体" w:eastAsia="宋体" w:cs="Times New Roman"/>
          <w:color w:val="000000"/>
          <w:sz w:val="24"/>
          <w:szCs w:val="24"/>
          <w:highlight w:val="none"/>
        </w:rPr>
        <w:t>）的公平竞争，不以任何不正当行为谋取不当利益，否则承担相应的法律责任。</w:t>
      </w:r>
    </w:p>
    <w:p w14:paraId="7AEFB6D4">
      <w:pPr>
        <w:wordWrap w:val="0"/>
        <w:snapToGrid w:val="0"/>
        <w:spacing w:line="360" w:lineRule="auto"/>
        <w:ind w:firstLine="484" w:firstLineChars="202"/>
        <w:rPr>
          <w:rFonts w:ascii="宋体" w:hAnsi="宋体" w:eastAsia="宋体" w:cs="Times New Roman"/>
          <w:color w:val="000000"/>
          <w:sz w:val="24"/>
          <w:szCs w:val="22"/>
          <w:highlight w:val="none"/>
        </w:rPr>
      </w:pPr>
      <w:r>
        <w:rPr>
          <w:rFonts w:hint="eastAsia" w:ascii="宋体" w:hAnsi="宋体" w:eastAsia="宋体" w:cs="Times New Roman"/>
          <w:color w:val="000000"/>
          <w:sz w:val="24"/>
          <w:szCs w:val="24"/>
          <w:highlight w:val="none"/>
        </w:rPr>
        <w:t>我方对上述承诺的真实性负责，</w:t>
      </w:r>
      <w:r>
        <w:rPr>
          <w:rFonts w:hint="eastAsia" w:ascii="宋体" w:hAnsi="宋体" w:eastAsia="宋体" w:cs="Times New Roman"/>
          <w:color w:val="000000"/>
          <w:sz w:val="24"/>
          <w:szCs w:val="24"/>
          <w:highlight w:val="none"/>
          <w:lang w:eastAsia="zh-CN"/>
        </w:rPr>
        <w:t>自愿按照</w:t>
      </w:r>
      <w:r>
        <w:rPr>
          <w:rFonts w:hint="eastAsia" w:ascii="宋体" w:hAnsi="宋体" w:eastAsia="宋体" w:cs="Times New Roman"/>
          <w:color w:val="000000"/>
          <w:sz w:val="24"/>
          <w:szCs w:val="24"/>
          <w:highlight w:val="none"/>
          <w:lang w:val="en-US" w:eastAsia="zh-CN"/>
        </w:rPr>
        <w:t>采购</w:t>
      </w:r>
      <w:r>
        <w:rPr>
          <w:rFonts w:hint="eastAsia" w:ascii="宋体" w:hAnsi="宋体" w:eastAsia="宋体" w:cs="Times New Roman"/>
          <w:color w:val="000000"/>
          <w:sz w:val="24"/>
          <w:szCs w:val="24"/>
          <w:highlight w:val="none"/>
          <w:lang w:eastAsia="zh-CN"/>
        </w:rPr>
        <w:t>文件的要求（若有要求）配合提供相关证明材料</w:t>
      </w:r>
      <w:r>
        <w:rPr>
          <w:rFonts w:hint="eastAsia" w:ascii="宋体" w:hAnsi="宋体" w:eastAsia="宋体" w:cs="Times New Roman"/>
          <w:color w:val="000000"/>
          <w:sz w:val="24"/>
          <w:szCs w:val="24"/>
          <w:highlight w:val="none"/>
        </w:rPr>
        <w:t>。以上内容如有虚假或与事实不符的，评标委员会可将我方做无效</w:t>
      </w:r>
      <w:r>
        <w:rPr>
          <w:rFonts w:hint="eastAsia" w:ascii="宋体" w:hAnsi="宋体" w:eastAsia="宋体" w:cs="Times New Roman"/>
          <w:color w:val="000000"/>
          <w:sz w:val="24"/>
          <w:szCs w:val="24"/>
          <w:highlight w:val="none"/>
          <w:lang w:eastAsia="zh-CN"/>
        </w:rPr>
        <w:t>响应</w:t>
      </w:r>
      <w:r>
        <w:rPr>
          <w:rFonts w:hint="eastAsia" w:ascii="宋体" w:hAnsi="宋体" w:eastAsia="宋体" w:cs="Times New Roman"/>
          <w:color w:val="000000"/>
          <w:sz w:val="24"/>
          <w:szCs w:val="24"/>
          <w:highlight w:val="none"/>
        </w:rPr>
        <w:t>处理</w:t>
      </w:r>
      <w:r>
        <w:rPr>
          <w:rFonts w:hint="eastAsia" w:ascii="宋体" w:hAnsi="宋体" w:eastAsia="宋体" w:cs="Times New Roman"/>
          <w:color w:val="000000"/>
          <w:sz w:val="24"/>
          <w:szCs w:val="24"/>
          <w:highlight w:val="none"/>
          <w:lang w:eastAsia="zh-CN"/>
        </w:rPr>
        <w:t>，我方</w:t>
      </w:r>
      <w:r>
        <w:rPr>
          <w:rFonts w:hint="eastAsia" w:ascii="宋体" w:hAnsi="宋体" w:eastAsia="宋体" w:cs="Times New Roman"/>
          <w:color w:val="000000"/>
          <w:sz w:val="24"/>
          <w:szCs w:val="24"/>
          <w:highlight w:val="none"/>
        </w:rPr>
        <w:t>自愿承担提供虚假材料谋取中标</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成交</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的法律责任。我方</w:t>
      </w:r>
      <w:r>
        <w:rPr>
          <w:rFonts w:hint="eastAsia" w:ascii="宋体" w:hAnsi="宋体" w:eastAsia="宋体" w:cs="Times New Roman"/>
          <w:color w:val="000000"/>
          <w:sz w:val="24"/>
          <w:szCs w:val="22"/>
          <w:highlight w:val="none"/>
        </w:rPr>
        <w:t>承诺在本次采购活动中，如有违法、违规、弄虚作假行为，所造成的损失、不良后果及法律责任，一律由我方承担。</w:t>
      </w:r>
    </w:p>
    <w:p w14:paraId="5EE5F59E">
      <w:pPr>
        <w:wordWrap w:val="0"/>
        <w:snapToGrid w:val="0"/>
        <w:spacing w:line="360" w:lineRule="auto"/>
        <w:ind w:firstLine="420"/>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特此声明！</w:t>
      </w:r>
    </w:p>
    <w:p w14:paraId="5AABC746">
      <w:pPr>
        <w:wordWrap w:val="0"/>
        <w:snapToGrid w:val="0"/>
        <w:spacing w:line="360" w:lineRule="auto"/>
        <w:rPr>
          <w:rFonts w:ascii="宋体" w:hAnsi="宋体" w:eastAsia="宋体" w:cs="Times New Roman"/>
          <w:b/>
          <w:color w:val="000000"/>
          <w:sz w:val="24"/>
          <w:szCs w:val="22"/>
          <w:highlight w:val="none"/>
        </w:rPr>
      </w:pPr>
    </w:p>
    <w:p w14:paraId="064B6CA4">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供应商名称（加盖公章）：</w:t>
      </w:r>
      <w:r>
        <w:rPr>
          <w:rFonts w:hint="eastAsia" w:ascii="宋体" w:hAnsi="宋体" w:eastAsia="宋体" w:cs="Times New Roman"/>
          <w:color w:val="000000"/>
          <w:sz w:val="24"/>
          <w:szCs w:val="24"/>
          <w:highlight w:val="none"/>
          <w:u w:val="single"/>
        </w:rPr>
        <w:t xml:space="preserve">                                   </w:t>
      </w:r>
    </w:p>
    <w:p w14:paraId="0405F0EF">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供应商法定代表人或授权代表（签字或盖章）：</w:t>
      </w:r>
      <w:r>
        <w:rPr>
          <w:rFonts w:hint="eastAsia" w:ascii="宋体" w:hAnsi="宋体" w:eastAsia="宋体" w:cs="Times New Roman"/>
          <w:color w:val="000000"/>
          <w:sz w:val="24"/>
          <w:szCs w:val="24"/>
          <w:highlight w:val="none"/>
          <w:u w:val="single"/>
        </w:rPr>
        <w:t xml:space="preserve">                          </w:t>
      </w:r>
    </w:p>
    <w:p w14:paraId="427746B0">
      <w:pPr>
        <w:wordWrap w:val="0"/>
        <w:snapToGrid w:val="0"/>
        <w:spacing w:line="360" w:lineRule="auto"/>
        <w:rPr>
          <w:rFonts w:hint="eastAsia" w:ascii="宋体" w:hAnsi="宋体" w:eastAsia="宋体" w:cs="Times New Roman"/>
          <w:b/>
          <w:color w:val="000000"/>
          <w:sz w:val="24"/>
          <w:szCs w:val="22"/>
          <w:highlight w:val="none"/>
        </w:rPr>
      </w:pPr>
      <w:r>
        <w:rPr>
          <w:rFonts w:hint="eastAsia" w:ascii="宋体" w:hAnsi="宋体" w:eastAsia="宋体" w:cs="Times New Roman"/>
          <w:color w:val="000000"/>
          <w:sz w:val="24"/>
          <w:szCs w:val="22"/>
          <w:highlight w:val="none"/>
        </w:rPr>
        <w:t>日期：</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年</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月</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日</w:t>
      </w:r>
    </w:p>
    <w:p w14:paraId="3F3E5539">
      <w:pPr>
        <w:wordWrap w:val="0"/>
        <w:snapToGrid w:val="0"/>
        <w:spacing w:line="360" w:lineRule="auto"/>
        <w:rPr>
          <w:rFonts w:hint="eastAsia" w:ascii="宋体" w:hAnsi="宋体" w:eastAsia="宋体" w:cs="Times New Roman"/>
          <w:b/>
          <w:color w:val="000000"/>
          <w:sz w:val="24"/>
          <w:szCs w:val="22"/>
          <w:highlight w:val="none"/>
        </w:rPr>
      </w:pPr>
    </w:p>
    <w:p w14:paraId="1CC99CFC">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rPr>
        <w:t>备注：</w:t>
      </w:r>
    </w:p>
    <w:p w14:paraId="6104EFEF">
      <w:pPr>
        <w:numPr>
          <w:ilvl w:val="0"/>
          <w:numId w:val="7"/>
        </w:numPr>
        <w:wordWrap w:val="0"/>
        <w:autoSpaceDE w:val="0"/>
        <w:autoSpaceDN w:val="0"/>
        <w:adjustRightInd w:val="0"/>
        <w:snapToGrid w:val="0"/>
        <w:spacing w:line="360" w:lineRule="auto"/>
        <w:ind w:left="0"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本声明函必须提供且内容不得擅自删改，否则视为</w:t>
      </w:r>
      <w:r>
        <w:rPr>
          <w:rFonts w:hint="eastAsia" w:ascii="宋体" w:hAnsi="宋体" w:eastAsia="宋体" w:cs="Times New Roman"/>
          <w:b/>
          <w:bCs/>
          <w:color w:val="000000"/>
          <w:sz w:val="24"/>
          <w:szCs w:val="24"/>
          <w:highlight w:val="none"/>
        </w:rPr>
        <w:t>无效</w:t>
      </w:r>
      <w:r>
        <w:rPr>
          <w:rFonts w:hint="eastAsia" w:ascii="宋体" w:hAnsi="宋体" w:eastAsia="宋体" w:cs="Times New Roman"/>
          <w:b/>
          <w:bCs/>
          <w:color w:val="000000"/>
          <w:sz w:val="24"/>
          <w:szCs w:val="24"/>
          <w:highlight w:val="none"/>
          <w:lang w:val="en-US" w:eastAsia="zh-CN"/>
        </w:rPr>
        <w:t>响应</w:t>
      </w:r>
      <w:r>
        <w:rPr>
          <w:rFonts w:hint="eastAsia" w:ascii="宋体" w:hAnsi="宋体" w:eastAsia="宋体" w:cs="Times New Roman"/>
          <w:color w:val="000000"/>
          <w:sz w:val="24"/>
          <w:szCs w:val="24"/>
          <w:highlight w:val="none"/>
        </w:rPr>
        <w:t>。</w:t>
      </w:r>
    </w:p>
    <w:p w14:paraId="43D8E0C3">
      <w:pPr>
        <w:numPr>
          <w:ilvl w:val="0"/>
          <w:numId w:val="7"/>
        </w:numPr>
        <w:wordWrap w:val="0"/>
        <w:autoSpaceDE w:val="0"/>
        <w:autoSpaceDN w:val="0"/>
        <w:adjustRightInd w:val="0"/>
        <w:snapToGrid w:val="0"/>
        <w:spacing w:line="360" w:lineRule="auto"/>
        <w:ind w:left="0"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本声明函如有虚假或与事实不符的，作</w:t>
      </w:r>
      <w:r>
        <w:rPr>
          <w:rFonts w:hint="eastAsia" w:ascii="宋体" w:hAnsi="宋体" w:eastAsia="宋体" w:cs="Times New Roman"/>
          <w:b/>
          <w:color w:val="000000"/>
          <w:sz w:val="24"/>
          <w:szCs w:val="24"/>
          <w:highlight w:val="none"/>
        </w:rPr>
        <w:t>无效</w:t>
      </w:r>
      <w:r>
        <w:rPr>
          <w:rFonts w:hint="eastAsia" w:ascii="宋体" w:hAnsi="宋体" w:eastAsia="宋体" w:cs="Times New Roman"/>
          <w:b/>
          <w:color w:val="000000"/>
          <w:sz w:val="24"/>
          <w:szCs w:val="24"/>
          <w:highlight w:val="none"/>
          <w:lang w:val="en-US" w:eastAsia="zh-CN"/>
        </w:rPr>
        <w:t>响应</w:t>
      </w:r>
      <w:r>
        <w:rPr>
          <w:rFonts w:hint="eastAsia" w:ascii="宋体" w:hAnsi="宋体" w:eastAsia="宋体" w:cs="Times New Roman"/>
          <w:color w:val="000000"/>
          <w:sz w:val="24"/>
          <w:szCs w:val="24"/>
          <w:highlight w:val="none"/>
        </w:rPr>
        <w:t>处理。</w:t>
      </w:r>
    </w:p>
    <w:p w14:paraId="58262FF8">
      <w:pPr>
        <w:rPr>
          <w:rFonts w:hint="default"/>
          <w:lang w:val="en-US" w:eastAsia="zh-CN"/>
        </w:rPr>
      </w:pPr>
    </w:p>
    <w:p w14:paraId="34349B9D">
      <w:pPr>
        <w:rPr>
          <w:rFonts w:hint="default"/>
          <w:lang w:val="en-US" w:eastAsia="zh-CN"/>
        </w:rPr>
      </w:pPr>
    </w:p>
    <w:p w14:paraId="5EAD0375">
      <w:pPr>
        <w:rPr>
          <w:rFonts w:hint="default"/>
          <w:lang w:val="en-US" w:eastAsia="zh-CN"/>
        </w:rPr>
      </w:pPr>
    </w:p>
    <w:p w14:paraId="02CF931A">
      <w:pPr>
        <w:rPr>
          <w:rFonts w:hint="default"/>
          <w:lang w:val="en-US" w:eastAsia="zh-CN"/>
        </w:rPr>
      </w:pPr>
    </w:p>
    <w:p w14:paraId="148750E7">
      <w:pPr>
        <w:rPr>
          <w:rFonts w:hint="default"/>
          <w:lang w:val="en-US" w:eastAsia="zh-CN"/>
        </w:rPr>
      </w:pPr>
    </w:p>
    <w:p w14:paraId="03DA452C">
      <w:pPr>
        <w:rPr>
          <w:rFonts w:hint="default"/>
          <w:lang w:val="en-US" w:eastAsia="zh-CN"/>
        </w:rPr>
      </w:pPr>
    </w:p>
    <w:p w14:paraId="5B9468E3">
      <w:pPr>
        <w:rPr>
          <w:rFonts w:hint="default"/>
          <w:lang w:val="en-US" w:eastAsia="zh-CN"/>
        </w:rPr>
      </w:pPr>
    </w:p>
    <w:p w14:paraId="6FAFD783">
      <w:pPr>
        <w:rPr>
          <w:rFonts w:hint="default"/>
          <w:lang w:val="en-US" w:eastAsia="zh-CN"/>
        </w:rPr>
      </w:pPr>
    </w:p>
    <w:p w14:paraId="64A870C1">
      <w:pPr>
        <w:rPr>
          <w:rFonts w:hint="default"/>
          <w:lang w:val="en-US" w:eastAsia="zh-CN"/>
        </w:rPr>
      </w:pPr>
    </w:p>
    <w:p w14:paraId="32851CC4">
      <w:pPr>
        <w:rPr>
          <w:rFonts w:hint="default"/>
          <w:lang w:val="en-US" w:eastAsia="zh-CN"/>
        </w:rPr>
      </w:pPr>
    </w:p>
    <w:p w14:paraId="0E8C391E">
      <w:pPr>
        <w:rPr>
          <w:rFonts w:hint="default"/>
          <w:lang w:val="en-US" w:eastAsia="zh-CN"/>
        </w:rPr>
      </w:pPr>
    </w:p>
    <w:p w14:paraId="58EC4C85">
      <w:pPr>
        <w:rPr>
          <w:rFonts w:hint="default"/>
          <w:lang w:val="en-US" w:eastAsia="zh-CN"/>
        </w:rPr>
      </w:pPr>
    </w:p>
    <w:p w14:paraId="5941B74A">
      <w:pPr>
        <w:rPr>
          <w:rFonts w:hint="default"/>
          <w:lang w:val="en-US" w:eastAsia="zh-CN"/>
        </w:rPr>
      </w:pPr>
    </w:p>
    <w:p w14:paraId="53D9D0E2">
      <w:pPr>
        <w:rPr>
          <w:rFonts w:hint="default"/>
          <w:lang w:val="en-US" w:eastAsia="zh-CN"/>
        </w:rPr>
      </w:pPr>
    </w:p>
    <w:p w14:paraId="5D9C7265">
      <w:pPr>
        <w:rPr>
          <w:rFonts w:hint="default"/>
          <w:lang w:val="en-US" w:eastAsia="zh-CN"/>
        </w:rPr>
      </w:pPr>
    </w:p>
    <w:p w14:paraId="4FB3E8D6">
      <w:pPr>
        <w:rPr>
          <w:rFonts w:hint="default"/>
          <w:lang w:val="en-US" w:eastAsia="zh-CN"/>
        </w:rPr>
      </w:pPr>
    </w:p>
    <w:p w14:paraId="2179A7C0">
      <w:pPr>
        <w:numPr>
          <w:ilvl w:val="0"/>
          <w:numId w:val="0"/>
        </w:numPr>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八、需求响应承诺函模板</w:t>
      </w:r>
    </w:p>
    <w:p w14:paraId="0AC9D142">
      <w:pPr>
        <w:adjustRightInd w:val="0"/>
        <w:snapToGrid w:val="0"/>
        <w:spacing w:line="560" w:lineRule="exact"/>
        <w:jc w:val="center"/>
        <w:outlineLvl w:val="2"/>
        <w:rPr>
          <w:rFonts w:hint="eastAsia" w:ascii="方正公文小标宋" w:hAnsi="方正公文小标宋" w:eastAsia="方正公文小标宋" w:cs="方正公文小标宋"/>
          <w:bCs/>
          <w:color w:val="auto"/>
          <w:sz w:val="44"/>
          <w:szCs w:val="44"/>
          <w:highlight w:val="none"/>
        </w:rPr>
      </w:pPr>
      <w:bookmarkStart w:id="1" w:name="_Toc16736"/>
      <w:r>
        <w:rPr>
          <w:rFonts w:hint="eastAsia" w:ascii="方正公文小标宋" w:hAnsi="方正公文小标宋" w:eastAsia="方正公文小标宋" w:cs="方正公文小标宋"/>
          <w:bCs/>
          <w:color w:val="auto"/>
          <w:sz w:val="44"/>
          <w:szCs w:val="44"/>
          <w:highlight w:val="none"/>
        </w:rPr>
        <w:t>需求</w:t>
      </w:r>
      <w:r>
        <w:rPr>
          <w:rFonts w:hint="eastAsia" w:ascii="方正公文小标宋" w:hAnsi="方正公文小标宋" w:eastAsia="方正公文小标宋" w:cs="方正公文小标宋"/>
          <w:bCs/>
          <w:color w:val="auto"/>
          <w:sz w:val="44"/>
          <w:szCs w:val="44"/>
          <w:highlight w:val="none"/>
          <w:lang w:val="en-US" w:eastAsia="zh-CN"/>
        </w:rPr>
        <w:t>响应</w:t>
      </w:r>
      <w:r>
        <w:rPr>
          <w:rFonts w:hint="eastAsia" w:ascii="方正公文小标宋" w:hAnsi="方正公文小标宋" w:eastAsia="方正公文小标宋" w:cs="方正公文小标宋"/>
          <w:bCs/>
          <w:color w:val="auto"/>
          <w:sz w:val="44"/>
          <w:szCs w:val="44"/>
          <w:highlight w:val="none"/>
        </w:rPr>
        <w:t>承诺函</w:t>
      </w:r>
      <w:bookmarkEnd w:id="1"/>
    </w:p>
    <w:p w14:paraId="1B314044">
      <w:pPr>
        <w:ind w:left="420"/>
        <w:rPr>
          <w:rFonts w:hint="eastAsia"/>
          <w:color w:val="auto"/>
          <w:highlight w:val="none"/>
        </w:rPr>
      </w:pPr>
    </w:p>
    <w:p w14:paraId="2E58D2ED">
      <w:pPr>
        <w:pStyle w:val="8"/>
        <w:spacing w:line="560" w:lineRule="exact"/>
        <w:jc w:val="both"/>
        <w:rPr>
          <w:rFonts w:hint="eastAsia" w:hAnsi="仿宋_GB2312" w:cs="仿宋_GB2312"/>
          <w:b/>
          <w:bCs/>
          <w:color w:val="auto"/>
          <w:szCs w:val="24"/>
          <w:highlight w:val="none"/>
        </w:rPr>
      </w:pPr>
      <w:r>
        <w:rPr>
          <w:rFonts w:hint="eastAsia" w:hAnsi="仿宋_GB2312" w:cs="仿宋_GB2312"/>
          <w:b/>
          <w:bCs/>
          <w:color w:val="auto"/>
          <w:szCs w:val="24"/>
          <w:highlight w:val="none"/>
        </w:rPr>
        <w:t>致：南方医科大学中西医结合医院</w:t>
      </w:r>
    </w:p>
    <w:p w14:paraId="5D3CE0B5">
      <w:pPr>
        <w:adjustRightInd w:val="0"/>
        <w:snapToGrid w:val="0"/>
        <w:spacing w:line="560" w:lineRule="exact"/>
        <w:ind w:firstLine="60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我司参加贵</w:t>
      </w:r>
      <w:r>
        <w:rPr>
          <w:rFonts w:hint="eastAsia" w:ascii="仿宋_GB2312" w:hAnsi="仿宋_GB2312" w:eastAsia="仿宋_GB2312" w:cs="仿宋_GB2312"/>
          <w:color w:val="auto"/>
          <w:sz w:val="24"/>
          <w:highlight w:val="none"/>
          <w:lang w:val="en-US" w:eastAsia="zh-CN"/>
        </w:rPr>
        <w:t>院</w:t>
      </w:r>
      <w:r>
        <w:rPr>
          <w:rFonts w:hint="eastAsia" w:ascii="仿宋_GB2312" w:hAnsi="仿宋_GB2312" w:eastAsia="仿宋_GB2312" w:cs="仿宋_GB2312"/>
          <w:color w:val="auto"/>
          <w:sz w:val="24"/>
          <w:highlight w:val="none"/>
        </w:rPr>
        <w:t>组织的南方医科大学中西医结合医院</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val="en-US" w:eastAsia="zh-CN"/>
        </w:rPr>
        <w:t>院内采购</w:t>
      </w:r>
      <w:r>
        <w:rPr>
          <w:rFonts w:hint="eastAsia" w:ascii="仿宋_GB2312" w:hAnsi="仿宋_GB2312" w:eastAsia="仿宋_GB2312" w:cs="仿宋_GB2312"/>
          <w:color w:val="auto"/>
          <w:sz w:val="24"/>
          <w:highlight w:val="none"/>
        </w:rPr>
        <w:t>。针对</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需求”中的条款，我司现作出如下承诺：</w:t>
      </w:r>
    </w:p>
    <w:p w14:paraId="631C68EA">
      <w:pPr>
        <w:adjustRightInd w:val="0"/>
        <w:snapToGrid w:val="0"/>
        <w:spacing w:line="560" w:lineRule="exact"/>
        <w:ind w:firstLine="60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我司充分理解本项目</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文件“采购需求”中所有条款及其所包含的责任</w:t>
      </w:r>
      <w:r>
        <w:rPr>
          <w:rFonts w:hint="eastAsia" w:ascii="仿宋_GB2312" w:hAnsi="仿宋_GB2312" w:eastAsia="仿宋_GB2312" w:cs="仿宋_GB2312"/>
          <w:color w:val="auto"/>
          <w:sz w:val="24"/>
          <w:highlight w:val="none"/>
          <w:lang w:val="en-US" w:eastAsia="zh-CN"/>
        </w:rPr>
        <w:t>及</w:t>
      </w:r>
      <w:r>
        <w:rPr>
          <w:rFonts w:hint="eastAsia" w:ascii="仿宋_GB2312" w:hAnsi="仿宋_GB2312" w:eastAsia="仿宋_GB2312" w:cs="仿宋_GB2312"/>
          <w:color w:val="auto"/>
          <w:sz w:val="24"/>
          <w:highlight w:val="none"/>
        </w:rPr>
        <w:t>合同义务（如成功缔约）。通过盖章签署本承诺函，我司一并承诺对上述有关条款能够完全按照</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文件“采购需求”的要求响应满足，并在合同履行过程中按承诺履约。</w:t>
      </w:r>
    </w:p>
    <w:p w14:paraId="2A8D5F68">
      <w:pPr>
        <w:adjustRightInd w:val="0"/>
        <w:snapToGrid w:val="0"/>
        <w:spacing w:line="560" w:lineRule="exact"/>
        <w:ind w:firstLine="606"/>
        <w:rPr>
          <w:rFonts w:hint="eastAsia" w:ascii="仿宋_GB2312" w:hAnsi="仿宋_GB2312" w:eastAsia="仿宋_GB2312" w:cs="仿宋_GB2312"/>
          <w:color w:val="auto"/>
          <w:sz w:val="24"/>
          <w:highlight w:val="none"/>
        </w:rPr>
      </w:pPr>
    </w:p>
    <w:p w14:paraId="0BE40E99">
      <w:pPr>
        <w:adjustRightInd w:val="0"/>
        <w:snapToGrid w:val="0"/>
        <w:spacing w:line="560" w:lineRule="exact"/>
        <w:ind w:firstLine="606"/>
        <w:rPr>
          <w:rFonts w:hint="eastAsia" w:ascii="仿宋_GB2312" w:hAnsi="仿宋_GB2312" w:eastAsia="仿宋_GB2312" w:cs="仿宋_GB2312"/>
          <w:color w:val="auto"/>
          <w:sz w:val="24"/>
          <w:highlight w:val="none"/>
        </w:rPr>
      </w:pPr>
    </w:p>
    <w:p w14:paraId="388D78BE">
      <w:pPr>
        <w:adjustRightInd w:val="0"/>
        <w:snapToGrid w:val="0"/>
        <w:spacing w:line="560" w:lineRule="exact"/>
        <w:ind w:firstLine="606"/>
        <w:rPr>
          <w:rFonts w:hint="eastAsia" w:ascii="仿宋_GB2312" w:hAnsi="仿宋_GB2312" w:eastAsia="仿宋_GB2312" w:cs="仿宋_GB2312"/>
          <w:color w:val="auto"/>
          <w:sz w:val="24"/>
          <w:highlight w:val="none"/>
        </w:rPr>
      </w:pPr>
    </w:p>
    <w:p w14:paraId="27C141C7">
      <w:pPr>
        <w:adjustRightInd w:val="0"/>
        <w:snapToGrid w:val="0"/>
        <w:spacing w:line="560" w:lineRule="exact"/>
        <w:ind w:firstLine="606"/>
        <w:rPr>
          <w:rFonts w:hint="eastAsia" w:ascii="仿宋_GB2312" w:hAnsi="仿宋_GB2312" w:eastAsia="仿宋_GB2312" w:cs="仿宋_GB2312"/>
          <w:color w:val="auto"/>
          <w:sz w:val="24"/>
          <w:highlight w:val="none"/>
        </w:rPr>
      </w:pPr>
    </w:p>
    <w:p w14:paraId="575EEBE2">
      <w:pPr>
        <w:adjustRightInd w:val="0"/>
        <w:snapToGrid w:val="0"/>
        <w:spacing w:line="560" w:lineRule="exact"/>
        <w:ind w:left="2940" w:leftChars="1400" w:firstLine="840" w:firstLineChars="3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4CAF5B83">
      <w:pPr>
        <w:adjustRightInd w:val="0"/>
        <w:snapToGrid w:val="0"/>
        <w:spacing w:line="560" w:lineRule="exact"/>
        <w:ind w:left="2940" w:leftChars="1400" w:firstLine="840" w:firstLineChars="35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5BB4437B">
      <w:pPr>
        <w:adjustRightInd w:val="0"/>
        <w:snapToGrid w:val="0"/>
        <w:spacing w:line="560" w:lineRule="exact"/>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8189E8B">
      <w:pPr>
        <w:rPr>
          <w:rFonts w:hint="default"/>
          <w:lang w:val="en-US" w:eastAsia="zh-CN"/>
        </w:rPr>
      </w:pPr>
    </w:p>
    <w:p w14:paraId="198A7921">
      <w:pPr>
        <w:pStyle w:val="5"/>
        <w:widowControl w:val="0"/>
        <w:numPr>
          <w:ilvl w:val="0"/>
          <w:numId w:val="0"/>
        </w:numPr>
        <w:jc w:val="both"/>
        <w:rPr>
          <w:rFonts w:hint="default"/>
          <w:lang w:val="en-US" w:eastAsia="zh-CN"/>
        </w:rPr>
      </w:pPr>
    </w:p>
    <w:p w14:paraId="183FB893">
      <w:pPr>
        <w:pStyle w:val="5"/>
        <w:widowControl w:val="0"/>
        <w:numPr>
          <w:ilvl w:val="0"/>
          <w:numId w:val="0"/>
        </w:numPr>
        <w:jc w:val="both"/>
        <w:rPr>
          <w:rFonts w:hint="default"/>
          <w:lang w:val="en-US" w:eastAsia="zh-CN"/>
        </w:rPr>
      </w:pPr>
    </w:p>
    <w:p w14:paraId="2C62310B">
      <w:pPr>
        <w:pStyle w:val="5"/>
        <w:widowControl w:val="0"/>
        <w:numPr>
          <w:ilvl w:val="0"/>
          <w:numId w:val="0"/>
        </w:numPr>
        <w:jc w:val="both"/>
        <w:rPr>
          <w:rFonts w:hint="default"/>
          <w:lang w:val="en-US" w:eastAsia="zh-CN"/>
        </w:rPr>
      </w:pPr>
    </w:p>
    <w:p w14:paraId="7ED9F388">
      <w:pPr>
        <w:pStyle w:val="5"/>
        <w:widowControl w:val="0"/>
        <w:numPr>
          <w:ilvl w:val="0"/>
          <w:numId w:val="0"/>
        </w:numPr>
        <w:jc w:val="both"/>
        <w:rPr>
          <w:rFonts w:hint="default"/>
          <w:lang w:val="en-US" w:eastAsia="zh-CN"/>
        </w:rPr>
      </w:pPr>
    </w:p>
    <w:p w14:paraId="2C30ABDA">
      <w:pPr>
        <w:pStyle w:val="5"/>
        <w:widowControl w:val="0"/>
        <w:numPr>
          <w:ilvl w:val="0"/>
          <w:numId w:val="0"/>
        </w:numPr>
        <w:jc w:val="both"/>
        <w:rPr>
          <w:rFonts w:hint="default"/>
          <w:lang w:val="en-US" w:eastAsia="zh-CN"/>
        </w:rPr>
      </w:pPr>
    </w:p>
    <w:p w14:paraId="3EAA134F">
      <w:pPr>
        <w:pStyle w:val="5"/>
        <w:widowControl w:val="0"/>
        <w:numPr>
          <w:ilvl w:val="0"/>
          <w:numId w:val="0"/>
        </w:numPr>
        <w:jc w:val="both"/>
        <w:rPr>
          <w:rFonts w:hint="default"/>
          <w:lang w:val="en-US" w:eastAsia="zh-CN"/>
        </w:rPr>
      </w:pPr>
    </w:p>
    <w:p w14:paraId="78E6B82F">
      <w:pPr>
        <w:pStyle w:val="5"/>
        <w:widowControl w:val="0"/>
        <w:numPr>
          <w:ilvl w:val="0"/>
          <w:numId w:val="0"/>
        </w:numPr>
        <w:jc w:val="both"/>
        <w:rPr>
          <w:rFonts w:hint="default"/>
          <w:lang w:val="en-US" w:eastAsia="zh-CN"/>
        </w:rPr>
      </w:pPr>
    </w:p>
    <w:p w14:paraId="189B3751">
      <w:pPr>
        <w:pStyle w:val="5"/>
        <w:widowControl w:val="0"/>
        <w:numPr>
          <w:ilvl w:val="0"/>
          <w:numId w:val="0"/>
        </w:numPr>
        <w:jc w:val="both"/>
        <w:rPr>
          <w:rFonts w:hint="default"/>
          <w:lang w:val="en-US" w:eastAsia="zh-CN"/>
        </w:rPr>
      </w:pPr>
    </w:p>
    <w:p w14:paraId="21BFDCAD">
      <w:pPr>
        <w:pStyle w:val="5"/>
        <w:widowControl w:val="0"/>
        <w:numPr>
          <w:ilvl w:val="0"/>
          <w:numId w:val="0"/>
        </w:numPr>
        <w:jc w:val="both"/>
        <w:rPr>
          <w:rFonts w:hint="default"/>
          <w:lang w:val="en-US" w:eastAsia="zh-CN"/>
        </w:rPr>
      </w:pPr>
    </w:p>
    <w:p w14:paraId="3DC6C589">
      <w:pPr>
        <w:pStyle w:val="5"/>
        <w:widowControl w:val="0"/>
        <w:numPr>
          <w:ilvl w:val="0"/>
          <w:numId w:val="0"/>
        </w:numPr>
        <w:jc w:val="both"/>
        <w:rPr>
          <w:rFonts w:hint="default"/>
          <w:lang w:val="en-US" w:eastAsia="zh-CN"/>
        </w:rPr>
      </w:pPr>
    </w:p>
    <w:p w14:paraId="06A31C5B">
      <w:pPr>
        <w:pStyle w:val="5"/>
        <w:widowControl w:val="0"/>
        <w:numPr>
          <w:ilvl w:val="0"/>
          <w:numId w:val="0"/>
        </w:numPr>
        <w:jc w:val="both"/>
        <w:rPr>
          <w:rFonts w:hint="default"/>
          <w:lang w:val="en-US" w:eastAsia="zh-CN"/>
        </w:rPr>
      </w:pPr>
    </w:p>
    <w:p w14:paraId="65CF170B">
      <w:pPr>
        <w:pStyle w:val="5"/>
        <w:widowControl w:val="0"/>
        <w:numPr>
          <w:ilvl w:val="0"/>
          <w:numId w:val="0"/>
        </w:numPr>
        <w:jc w:val="both"/>
        <w:rPr>
          <w:rFonts w:hint="default"/>
          <w:lang w:val="en-US" w:eastAsia="zh-CN"/>
        </w:rPr>
      </w:pPr>
    </w:p>
    <w:p w14:paraId="3DEAC99E">
      <w:pPr>
        <w:pStyle w:val="5"/>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40B1FD-A0C8-473C-97C7-770F3E6212D6}"/>
  </w:font>
  <w:font w:name="黑体">
    <w:panose1 w:val="02010609060101010101"/>
    <w:charset w:val="86"/>
    <w:family w:val="auto"/>
    <w:pitch w:val="default"/>
    <w:sig w:usb0="800002BF" w:usb1="38CF7CFA" w:usb2="00000016" w:usb3="00000000" w:csb0="00040001" w:csb1="00000000"/>
    <w:embedRegular r:id="rId2" w:fontKey="{69776D06-265A-4C66-8545-443BA988C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44CC14DD-F415-4DC3-ABB9-3D698C924035}"/>
  </w:font>
  <w:font w:name="仿宋_GB2312">
    <w:panose1 w:val="02010609030101010101"/>
    <w:charset w:val="86"/>
    <w:family w:val="modern"/>
    <w:pitch w:val="default"/>
    <w:sig w:usb0="00000001" w:usb1="080E0000" w:usb2="00000000" w:usb3="00000000" w:csb0="00040000" w:csb1="00000000"/>
    <w:embedRegular r:id="rId4" w:fontKey="{09C0301C-C351-47AF-AE90-150D4C7B3161}"/>
  </w:font>
  <w:font w:name="楷体_GB2312">
    <w:altName w:val="楷体"/>
    <w:panose1 w:val="02010609030101010101"/>
    <w:charset w:val="86"/>
    <w:family w:val="modern"/>
    <w:pitch w:val="default"/>
    <w:sig w:usb0="00000000" w:usb1="00000000" w:usb2="00000010" w:usb3="00000000" w:csb0="00040000" w:csb1="00000000"/>
    <w:embedRegular r:id="rId5" w:fontKey="{A75ED817-50D4-4BC7-92D1-7D6CF5783823}"/>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208DF6B6-820C-4BD0-B39C-FA0252FEFBF0}"/>
  </w:font>
  <w:font w:name="Arial Unicode MS">
    <w:panose1 w:val="020B0604020202020204"/>
    <w:charset w:val="86"/>
    <w:family w:val="swiss"/>
    <w:pitch w:val="default"/>
    <w:sig w:usb0="FFFFFFFF" w:usb1="E9FFFFFF" w:usb2="0000003F" w:usb3="00000000" w:csb0="603F01FF" w:csb1="FFFF0000"/>
    <w:embedRegular r:id="rId7" w:fontKey="{88B06585-6FF7-4F9E-84F9-FF0645E5A4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D6771"/>
    <w:multiLevelType w:val="singleLevel"/>
    <w:tmpl w:val="F6DD6771"/>
    <w:lvl w:ilvl="0" w:tentative="0">
      <w:start w:val="1"/>
      <w:numFmt w:val="decimal"/>
      <w:pStyle w:val="5"/>
      <w:lvlText w:val="%1."/>
      <w:lvlJc w:val="left"/>
      <w:pPr>
        <w:tabs>
          <w:tab w:val="left" w:pos="360"/>
        </w:tabs>
        <w:ind w:left="360" w:hanging="360"/>
      </w:pPr>
    </w:lvl>
  </w:abstractNum>
  <w:abstractNum w:abstractNumId="1">
    <w:nsid w:val="1869760B"/>
    <w:multiLevelType w:val="singleLevel"/>
    <w:tmpl w:val="1869760B"/>
    <w:lvl w:ilvl="0" w:tentative="0">
      <w:start w:val="1"/>
      <w:numFmt w:val="decimal"/>
      <w:suff w:val="nothing"/>
      <w:lvlText w:val="%1、"/>
      <w:lvlJc w:val="left"/>
    </w:lvl>
  </w:abstractNum>
  <w:abstractNum w:abstractNumId="2">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94620A"/>
    <w:multiLevelType w:val="singleLevel"/>
    <w:tmpl w:val="3694620A"/>
    <w:lvl w:ilvl="0" w:tentative="0">
      <w:start w:val="1"/>
      <w:numFmt w:val="decimal"/>
      <w:suff w:val="nothing"/>
      <w:lvlText w:val="%1、"/>
      <w:lvlJc w:val="left"/>
    </w:lvl>
  </w:abstractNum>
  <w:abstractNum w:abstractNumId="4">
    <w:nsid w:val="36C15082"/>
    <w:multiLevelType w:val="singleLevel"/>
    <w:tmpl w:val="36C15082"/>
    <w:lvl w:ilvl="0" w:tentative="0">
      <w:start w:val="1"/>
      <w:numFmt w:val="chineseCounting"/>
      <w:suff w:val="nothing"/>
      <w:lvlText w:val="%1、"/>
      <w:lvlJc w:val="left"/>
      <w:pPr>
        <w:ind w:left="0" w:firstLine="420"/>
      </w:pPr>
      <w:rPr>
        <w:rFonts w:hint="eastAsia"/>
      </w:rPr>
    </w:lvl>
  </w:abstractNum>
  <w:abstractNum w:abstractNumId="5">
    <w:nsid w:val="52712733"/>
    <w:multiLevelType w:val="singleLevel"/>
    <w:tmpl w:val="52712733"/>
    <w:lvl w:ilvl="0" w:tentative="0">
      <w:start w:val="10"/>
      <w:numFmt w:val="chineseCounting"/>
      <w:suff w:val="nothing"/>
      <w:lvlText w:val="第%1条"/>
      <w:lvlJc w:val="left"/>
    </w:lvl>
  </w:abstractNum>
  <w:abstractNum w:abstractNumId="6">
    <w:nsid w:val="5B38ECFE"/>
    <w:multiLevelType w:val="singleLevel"/>
    <w:tmpl w:val="5B38ECFE"/>
    <w:lvl w:ilvl="0" w:tentative="0">
      <w:start w:val="1"/>
      <w:numFmt w:val="decimal"/>
      <w:suff w:val="nothing"/>
      <w:lvlText w:val="%1、"/>
      <w:lvlJc w:val="left"/>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jN2ZjNGQ2ODA4YWQ2ODZlNGQwYThkOTdlNWFkODMifQ=="/>
  </w:docVars>
  <w:rsids>
    <w:rsidRoot w:val="00514D56"/>
    <w:rsid w:val="00011D34"/>
    <w:rsid w:val="000248BA"/>
    <w:rsid w:val="00053DE3"/>
    <w:rsid w:val="000C3A08"/>
    <w:rsid w:val="001661C6"/>
    <w:rsid w:val="001D452D"/>
    <w:rsid w:val="001D7802"/>
    <w:rsid w:val="00293070"/>
    <w:rsid w:val="003660D1"/>
    <w:rsid w:val="00514D56"/>
    <w:rsid w:val="005F0DC1"/>
    <w:rsid w:val="006869BF"/>
    <w:rsid w:val="006E06E2"/>
    <w:rsid w:val="007714F0"/>
    <w:rsid w:val="00787183"/>
    <w:rsid w:val="007B024E"/>
    <w:rsid w:val="007B600A"/>
    <w:rsid w:val="007D27EA"/>
    <w:rsid w:val="00852021"/>
    <w:rsid w:val="00895386"/>
    <w:rsid w:val="009479AC"/>
    <w:rsid w:val="00A509FA"/>
    <w:rsid w:val="00A94E02"/>
    <w:rsid w:val="00B37648"/>
    <w:rsid w:val="00B44D15"/>
    <w:rsid w:val="00B75903"/>
    <w:rsid w:val="00BD1F06"/>
    <w:rsid w:val="00C71668"/>
    <w:rsid w:val="00CC5084"/>
    <w:rsid w:val="00D63EB6"/>
    <w:rsid w:val="00E63739"/>
    <w:rsid w:val="00F84F6F"/>
    <w:rsid w:val="00FB0FBE"/>
    <w:rsid w:val="01325A8F"/>
    <w:rsid w:val="01A96529"/>
    <w:rsid w:val="01FA6A1F"/>
    <w:rsid w:val="026E0D49"/>
    <w:rsid w:val="028E3199"/>
    <w:rsid w:val="02FA082F"/>
    <w:rsid w:val="03393105"/>
    <w:rsid w:val="038036DD"/>
    <w:rsid w:val="03C14157"/>
    <w:rsid w:val="04783FC0"/>
    <w:rsid w:val="04BA456E"/>
    <w:rsid w:val="058F34B0"/>
    <w:rsid w:val="05AC2338"/>
    <w:rsid w:val="05D03C38"/>
    <w:rsid w:val="06924A62"/>
    <w:rsid w:val="069845E6"/>
    <w:rsid w:val="073E518E"/>
    <w:rsid w:val="07C7704C"/>
    <w:rsid w:val="084E1401"/>
    <w:rsid w:val="089963F4"/>
    <w:rsid w:val="093A1985"/>
    <w:rsid w:val="09772C41"/>
    <w:rsid w:val="0A256191"/>
    <w:rsid w:val="0A8F3F52"/>
    <w:rsid w:val="0C2F1549"/>
    <w:rsid w:val="0C8A2C23"/>
    <w:rsid w:val="0D81262D"/>
    <w:rsid w:val="10BE4C49"/>
    <w:rsid w:val="111D5E14"/>
    <w:rsid w:val="11DD1A47"/>
    <w:rsid w:val="149E54BE"/>
    <w:rsid w:val="15117641"/>
    <w:rsid w:val="1517701E"/>
    <w:rsid w:val="156F0C08"/>
    <w:rsid w:val="159643E7"/>
    <w:rsid w:val="159D5775"/>
    <w:rsid w:val="159F14ED"/>
    <w:rsid w:val="15D13671"/>
    <w:rsid w:val="164C47B9"/>
    <w:rsid w:val="17D950C6"/>
    <w:rsid w:val="18ED2570"/>
    <w:rsid w:val="191A18F8"/>
    <w:rsid w:val="19F16090"/>
    <w:rsid w:val="1B291859"/>
    <w:rsid w:val="1BAA681C"/>
    <w:rsid w:val="1BC872C4"/>
    <w:rsid w:val="1BE614F8"/>
    <w:rsid w:val="1C1D316C"/>
    <w:rsid w:val="1C267A64"/>
    <w:rsid w:val="1C41576A"/>
    <w:rsid w:val="1CAE2016"/>
    <w:rsid w:val="1CDA2E0B"/>
    <w:rsid w:val="1CDF6673"/>
    <w:rsid w:val="1D055E43"/>
    <w:rsid w:val="1E122A78"/>
    <w:rsid w:val="1E6876C9"/>
    <w:rsid w:val="1EB40642"/>
    <w:rsid w:val="1EC43D73"/>
    <w:rsid w:val="1F0170F2"/>
    <w:rsid w:val="1F3F789D"/>
    <w:rsid w:val="1F843502"/>
    <w:rsid w:val="20084133"/>
    <w:rsid w:val="204360D3"/>
    <w:rsid w:val="20825C93"/>
    <w:rsid w:val="20C236B9"/>
    <w:rsid w:val="20CE2C87"/>
    <w:rsid w:val="21A97250"/>
    <w:rsid w:val="224822F2"/>
    <w:rsid w:val="22602004"/>
    <w:rsid w:val="22C72083"/>
    <w:rsid w:val="22FF7A6F"/>
    <w:rsid w:val="23052BAC"/>
    <w:rsid w:val="232B3B24"/>
    <w:rsid w:val="23445482"/>
    <w:rsid w:val="23586E08"/>
    <w:rsid w:val="25B12308"/>
    <w:rsid w:val="25D26EA8"/>
    <w:rsid w:val="261F21FC"/>
    <w:rsid w:val="261F5D33"/>
    <w:rsid w:val="26492DAF"/>
    <w:rsid w:val="26760048"/>
    <w:rsid w:val="26DD5A3D"/>
    <w:rsid w:val="27135897"/>
    <w:rsid w:val="2778394C"/>
    <w:rsid w:val="27BF3329"/>
    <w:rsid w:val="27C9064C"/>
    <w:rsid w:val="27E70AD2"/>
    <w:rsid w:val="27EC6E16"/>
    <w:rsid w:val="28327F9F"/>
    <w:rsid w:val="29322C1E"/>
    <w:rsid w:val="294361DC"/>
    <w:rsid w:val="296E14AB"/>
    <w:rsid w:val="29F23E8A"/>
    <w:rsid w:val="2A4E4E38"/>
    <w:rsid w:val="2A6401B8"/>
    <w:rsid w:val="2AAA55F1"/>
    <w:rsid w:val="2AD25A69"/>
    <w:rsid w:val="2AE00186"/>
    <w:rsid w:val="2AEC0046"/>
    <w:rsid w:val="2BE02C40"/>
    <w:rsid w:val="2BE71090"/>
    <w:rsid w:val="2CA7379B"/>
    <w:rsid w:val="2CA945A8"/>
    <w:rsid w:val="2CE118AF"/>
    <w:rsid w:val="2D0344FB"/>
    <w:rsid w:val="2D1265F1"/>
    <w:rsid w:val="2E13617D"/>
    <w:rsid w:val="2EAE2349"/>
    <w:rsid w:val="2F2D551E"/>
    <w:rsid w:val="2F4F1437"/>
    <w:rsid w:val="2FB614B6"/>
    <w:rsid w:val="30B33C47"/>
    <w:rsid w:val="31AB2B70"/>
    <w:rsid w:val="334B460B"/>
    <w:rsid w:val="3428494C"/>
    <w:rsid w:val="34343F46"/>
    <w:rsid w:val="343B01DB"/>
    <w:rsid w:val="34AD54B9"/>
    <w:rsid w:val="34AE4E51"/>
    <w:rsid w:val="34EC597A"/>
    <w:rsid w:val="35496928"/>
    <w:rsid w:val="35691456"/>
    <w:rsid w:val="36AB729F"/>
    <w:rsid w:val="37403D94"/>
    <w:rsid w:val="378E0F6A"/>
    <w:rsid w:val="379522F8"/>
    <w:rsid w:val="38B41477"/>
    <w:rsid w:val="399B34CA"/>
    <w:rsid w:val="39BF365D"/>
    <w:rsid w:val="3A345F6B"/>
    <w:rsid w:val="3A813F34"/>
    <w:rsid w:val="3B20637D"/>
    <w:rsid w:val="3B253993"/>
    <w:rsid w:val="3BB01A4C"/>
    <w:rsid w:val="3E5C591E"/>
    <w:rsid w:val="3EA60249"/>
    <w:rsid w:val="3EE871B2"/>
    <w:rsid w:val="3F2D2E17"/>
    <w:rsid w:val="3FB5526A"/>
    <w:rsid w:val="3FB672B0"/>
    <w:rsid w:val="40295CD4"/>
    <w:rsid w:val="402C3569"/>
    <w:rsid w:val="40C31C84"/>
    <w:rsid w:val="422449A5"/>
    <w:rsid w:val="43F762B1"/>
    <w:rsid w:val="445A2900"/>
    <w:rsid w:val="44867251"/>
    <w:rsid w:val="44AE6BD9"/>
    <w:rsid w:val="44F55093"/>
    <w:rsid w:val="44FC7513"/>
    <w:rsid w:val="45473E04"/>
    <w:rsid w:val="454A4722"/>
    <w:rsid w:val="45CF2E79"/>
    <w:rsid w:val="45DB181E"/>
    <w:rsid w:val="45FE550D"/>
    <w:rsid w:val="46C87FF5"/>
    <w:rsid w:val="46CB3641"/>
    <w:rsid w:val="46E841F3"/>
    <w:rsid w:val="46F112E6"/>
    <w:rsid w:val="474B29D4"/>
    <w:rsid w:val="479C4FDD"/>
    <w:rsid w:val="47AF2F63"/>
    <w:rsid w:val="481E02A5"/>
    <w:rsid w:val="48420A18"/>
    <w:rsid w:val="48DA67F8"/>
    <w:rsid w:val="49203AEA"/>
    <w:rsid w:val="49975A5C"/>
    <w:rsid w:val="49BD0428"/>
    <w:rsid w:val="49CB1BAA"/>
    <w:rsid w:val="4A9D1F44"/>
    <w:rsid w:val="4AC33583"/>
    <w:rsid w:val="4AEA6060"/>
    <w:rsid w:val="4CE865CF"/>
    <w:rsid w:val="4CF338F1"/>
    <w:rsid w:val="4D4B54DB"/>
    <w:rsid w:val="4DD52FF7"/>
    <w:rsid w:val="4F9B341B"/>
    <w:rsid w:val="4FBE2DC1"/>
    <w:rsid w:val="50A05B3E"/>
    <w:rsid w:val="51705511"/>
    <w:rsid w:val="51A95A08"/>
    <w:rsid w:val="51E23F34"/>
    <w:rsid w:val="52384078"/>
    <w:rsid w:val="5328200F"/>
    <w:rsid w:val="53334A48"/>
    <w:rsid w:val="534D3630"/>
    <w:rsid w:val="53642E53"/>
    <w:rsid w:val="53D855EF"/>
    <w:rsid w:val="5449029B"/>
    <w:rsid w:val="54606DF1"/>
    <w:rsid w:val="548C3F57"/>
    <w:rsid w:val="55A27C63"/>
    <w:rsid w:val="55C81AC6"/>
    <w:rsid w:val="57430FD1"/>
    <w:rsid w:val="57A8352A"/>
    <w:rsid w:val="57EA3B43"/>
    <w:rsid w:val="5895585D"/>
    <w:rsid w:val="598D2358"/>
    <w:rsid w:val="5AB116CF"/>
    <w:rsid w:val="5B6C0C4E"/>
    <w:rsid w:val="5B871DD5"/>
    <w:rsid w:val="5B8C1CA7"/>
    <w:rsid w:val="5B9174FE"/>
    <w:rsid w:val="5B9E0ECC"/>
    <w:rsid w:val="5BA83AF9"/>
    <w:rsid w:val="5BB73D3C"/>
    <w:rsid w:val="5CB2680B"/>
    <w:rsid w:val="5CD32DF8"/>
    <w:rsid w:val="5D79399F"/>
    <w:rsid w:val="5D9D3541"/>
    <w:rsid w:val="5DA54794"/>
    <w:rsid w:val="5E0272E6"/>
    <w:rsid w:val="5ED05841"/>
    <w:rsid w:val="5F69359F"/>
    <w:rsid w:val="5F77291D"/>
    <w:rsid w:val="5FA10F8B"/>
    <w:rsid w:val="62404A8B"/>
    <w:rsid w:val="626C3AD2"/>
    <w:rsid w:val="63E87188"/>
    <w:rsid w:val="64095351"/>
    <w:rsid w:val="64137F7D"/>
    <w:rsid w:val="649B16A8"/>
    <w:rsid w:val="65D8147F"/>
    <w:rsid w:val="65FF6A0B"/>
    <w:rsid w:val="670C7632"/>
    <w:rsid w:val="68EC771B"/>
    <w:rsid w:val="690A194F"/>
    <w:rsid w:val="692D62E8"/>
    <w:rsid w:val="696A4AE4"/>
    <w:rsid w:val="69BC032C"/>
    <w:rsid w:val="6A696B49"/>
    <w:rsid w:val="6A883473"/>
    <w:rsid w:val="6A890F99"/>
    <w:rsid w:val="6BA20565"/>
    <w:rsid w:val="6CC032D4"/>
    <w:rsid w:val="6DD62748"/>
    <w:rsid w:val="6F51652A"/>
    <w:rsid w:val="6FA50623"/>
    <w:rsid w:val="6FAF1188"/>
    <w:rsid w:val="710C022E"/>
    <w:rsid w:val="71121CE9"/>
    <w:rsid w:val="712B2DAA"/>
    <w:rsid w:val="71A768D5"/>
    <w:rsid w:val="72084E9A"/>
    <w:rsid w:val="72125FFD"/>
    <w:rsid w:val="735A7977"/>
    <w:rsid w:val="73B75666"/>
    <w:rsid w:val="746A5998"/>
    <w:rsid w:val="74872D42"/>
    <w:rsid w:val="74DD4329"/>
    <w:rsid w:val="75324707"/>
    <w:rsid w:val="75D4756D"/>
    <w:rsid w:val="760F764A"/>
    <w:rsid w:val="76944F4E"/>
    <w:rsid w:val="775A1CF3"/>
    <w:rsid w:val="798B4E77"/>
    <w:rsid w:val="79E955B1"/>
    <w:rsid w:val="7A8157E9"/>
    <w:rsid w:val="7B27587A"/>
    <w:rsid w:val="7C9C5642"/>
    <w:rsid w:val="7CB70E95"/>
    <w:rsid w:val="7D316AC5"/>
    <w:rsid w:val="7D3F20B7"/>
    <w:rsid w:val="7D446822"/>
    <w:rsid w:val="7D7D4F3F"/>
    <w:rsid w:val="7DC24E6E"/>
    <w:rsid w:val="7E0B3D48"/>
    <w:rsid w:val="7EEA3577"/>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List Number"/>
    <w:basedOn w:val="1"/>
    <w:qFormat/>
    <w:uiPriority w:val="0"/>
    <w:pPr>
      <w:numPr>
        <w:ilvl w:val="0"/>
        <w:numId w:val="1"/>
      </w:numPr>
    </w:pPr>
  </w:style>
  <w:style w:type="paragraph" w:styleId="6">
    <w:name w:val="Normal Indent"/>
    <w:basedOn w:val="1"/>
    <w:next w:val="4"/>
    <w:qFormat/>
    <w:uiPriority w:val="0"/>
    <w:pPr>
      <w:widowControl/>
      <w:ind w:firstLine="420" w:firstLineChars="200"/>
      <w:jc w:val="left"/>
    </w:pPr>
    <w:rPr>
      <w:rFonts w:ascii="Calibri"/>
      <w:sz w:val="20"/>
    </w:rPr>
  </w:style>
  <w:style w:type="paragraph" w:styleId="7">
    <w:name w:val="annotation text"/>
    <w:basedOn w:val="1"/>
    <w:qFormat/>
    <w:uiPriority w:val="0"/>
    <w:pPr>
      <w:jc w:val="left"/>
    </w:pPr>
  </w:style>
  <w:style w:type="paragraph" w:styleId="8">
    <w:name w:val="Body Text"/>
    <w:basedOn w:val="1"/>
    <w:next w:val="1"/>
    <w:qFormat/>
    <w:uiPriority w:val="0"/>
    <w:pPr>
      <w:spacing w:line="380" w:lineRule="exact"/>
    </w:pPr>
    <w:rPr>
      <w:sz w:val="24"/>
    </w:rPr>
  </w:style>
  <w:style w:type="paragraph" w:styleId="9">
    <w:name w:val="Body Text Indent"/>
    <w:basedOn w:val="1"/>
    <w:qFormat/>
    <w:uiPriority w:val="0"/>
    <w:pPr>
      <w:spacing w:line="520" w:lineRule="exact"/>
      <w:ind w:firstLine="640" w:firstLineChars="200"/>
    </w:pPr>
    <w:rPr>
      <w:rFonts w:ascii="仿宋_GB2312" w:eastAsia="仿宋_GB2312"/>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qFormat/>
    <w:uiPriority w:val="0"/>
  </w:style>
  <w:style w:type="character" w:styleId="19">
    <w:name w:val="FollowedHyperlink"/>
    <w:basedOn w:val="16"/>
    <w:unhideWhenUsed/>
    <w:qFormat/>
    <w:uiPriority w:val="99"/>
    <w:rPr>
      <w:color w:val="800080"/>
      <w:u w:val="single"/>
    </w:rPr>
  </w:style>
  <w:style w:type="character" w:styleId="20">
    <w:name w:val="Hyperlink"/>
    <w:basedOn w:val="16"/>
    <w:unhideWhenUsed/>
    <w:qFormat/>
    <w:uiPriority w:val="99"/>
    <w:rPr>
      <w:color w:val="0000FF"/>
      <w:u w:val="single"/>
    </w:rPr>
  </w:style>
  <w:style w:type="paragraph" w:customStyle="1" w:styleId="2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0"/>
    <w:basedOn w:val="1"/>
    <w:qFormat/>
    <w:uiPriority w:val="0"/>
    <w:pPr>
      <w:widowControl/>
      <w:pBdr>
        <w:top w:val="single" w:color="auto" w:sz="4" w:space="0"/>
        <w:left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73"/>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4"/>
    </w:rPr>
  </w:style>
  <w:style w:type="character" w:customStyle="1" w:styleId="31">
    <w:name w:val="页眉 Char"/>
    <w:basedOn w:val="16"/>
    <w:link w:val="12"/>
    <w:qFormat/>
    <w:uiPriority w:val="0"/>
    <w:rPr>
      <w:kern w:val="2"/>
      <w:sz w:val="18"/>
      <w:szCs w:val="18"/>
    </w:rPr>
  </w:style>
  <w:style w:type="character" w:customStyle="1" w:styleId="32">
    <w:name w:val="页脚 Char"/>
    <w:basedOn w:val="16"/>
    <w:link w:val="11"/>
    <w:qFormat/>
    <w:uiPriority w:val="0"/>
    <w:rPr>
      <w:kern w:val="2"/>
      <w:sz w:val="18"/>
      <w:szCs w:val="18"/>
    </w:rPr>
  </w:style>
  <w:style w:type="paragraph" w:styleId="33">
    <w:name w:val="List Paragraph"/>
    <w:basedOn w:val="1"/>
    <w:qFormat/>
    <w:uiPriority w:val="0"/>
    <w:pPr>
      <w:ind w:firstLine="420" w:firstLineChars="200"/>
    </w:pPr>
    <w:rPr>
      <w:rFonts w:ascii="Calibri" w:hAnsi="Calibri"/>
      <w:szCs w:val="22"/>
    </w:rPr>
  </w:style>
  <w:style w:type="character" w:customStyle="1" w:styleId="34">
    <w:name w:val="font41"/>
    <w:basedOn w:val="16"/>
    <w:qFormat/>
    <w:uiPriority w:val="0"/>
    <w:rPr>
      <w:rFonts w:hint="eastAsia" w:ascii="宋体" w:hAnsi="宋体" w:eastAsia="宋体" w:cs="宋体"/>
      <w:color w:val="000000"/>
      <w:sz w:val="20"/>
      <w:szCs w:val="20"/>
      <w:u w:val="none"/>
    </w:rPr>
  </w:style>
  <w:style w:type="character" w:customStyle="1" w:styleId="35">
    <w:name w:val="font51"/>
    <w:basedOn w:val="16"/>
    <w:qFormat/>
    <w:uiPriority w:val="0"/>
    <w:rPr>
      <w:rFonts w:hint="default" w:ascii="Times New Roman" w:hAnsi="Times New Roman" w:cs="Times New Roman"/>
      <w:color w:val="000000"/>
      <w:sz w:val="20"/>
      <w:szCs w:val="20"/>
      <w:u w:val="none"/>
    </w:rPr>
  </w:style>
  <w:style w:type="paragraph" w:customStyle="1" w:styleId="36">
    <w:name w:val="Body Text First Indent 21"/>
    <w:basedOn w:val="3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7">
    <w:name w:val="Body Text Indent1"/>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4965</Words>
  <Characters>5400</Characters>
  <Lines>2</Lines>
  <Paragraphs>3</Paragraphs>
  <TotalTime>12</TotalTime>
  <ScaleCrop>false</ScaleCrop>
  <LinksUpToDate>false</LinksUpToDate>
  <CharactersWithSpaces>6554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2024-09-11T09:56:00Z</dcterms:created>
  <dc:creator>DELL</dc:creator>
  <cp:lastModifiedBy>ZBB</cp:lastModifiedBy>
  <cp:lastPrinted>2024-12-05T02:17:00Z</cp:lastPrinted>
  <dcterms:modified xsi:type="dcterms:W3CDTF">2025-07-30T03:19:46Z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3CD4E7816D3F4850AE9C02BA7747F48A_13</vt:lpwstr>
  </property>
  <property fmtid="{D5CDD505-2E9C-101B-9397-08002B2CF9AE}" pid="4" name="KSOTemplateDocerSaveRecord">
    <vt:lpwstr>eyJoZGlkIjoiNmJjN2ZjNGQ2ODA4YWQ2ODZlNGQwYThkOTdlNWFkODMiLCJ1c2VySWQiOiIzMjIyNjg0NzYifQ==</vt:lpwstr>
  </property>
</Properties>
</file>