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A3735">
      <w:pPr>
        <w:numPr>
          <w:ilvl w:val="0"/>
          <w:numId w:val="0"/>
        </w:numPr>
        <w:ind w:left="420" w:leftChars="0"/>
        <w:jc w:val="center"/>
        <w:rPr>
          <w:rFonts w:hint="default"/>
          <w:b/>
          <w:bCs/>
          <w:sz w:val="52"/>
          <w:szCs w:val="52"/>
          <w:lang w:val="en-US" w:eastAsia="zh-CN"/>
        </w:rPr>
      </w:pPr>
      <w:bookmarkStart w:id="0" w:name="_GoBack"/>
      <w:bookmarkEnd w:id="0"/>
      <w:r>
        <w:rPr>
          <w:rFonts w:hint="eastAsia"/>
          <w:b/>
          <w:bCs/>
          <w:sz w:val="52"/>
          <w:szCs w:val="52"/>
          <w:lang w:val="en-US" w:eastAsia="zh-CN"/>
        </w:rPr>
        <w:t>采购需求书</w:t>
      </w:r>
    </w:p>
    <w:p w14:paraId="6F68691D">
      <w:pPr>
        <w:numPr>
          <w:ilvl w:val="0"/>
          <w:numId w:val="1"/>
        </w:numPr>
        <w:ind w:left="0" w:leftChars="0" w:firstLine="420" w:firstLineChars="0"/>
        <w:rPr>
          <w:rFonts w:hint="eastAsia"/>
          <w:b/>
          <w:bCs/>
          <w:sz w:val="24"/>
          <w:szCs w:val="24"/>
          <w:lang w:val="en-US" w:eastAsia="zh-CN"/>
        </w:rPr>
      </w:pPr>
      <w:r>
        <w:rPr>
          <w:rFonts w:hint="eastAsia"/>
          <w:b/>
          <w:bCs/>
          <w:sz w:val="24"/>
          <w:szCs w:val="24"/>
          <w:lang w:val="en-US" w:eastAsia="zh-CN"/>
        </w:rPr>
        <w:t>项目名称</w:t>
      </w:r>
    </w:p>
    <w:p w14:paraId="578E636F">
      <w:pPr>
        <w:rPr>
          <w:rFonts w:hint="default"/>
          <w:sz w:val="24"/>
          <w:szCs w:val="24"/>
          <w:lang w:val="en-US" w:eastAsia="zh-CN"/>
        </w:rPr>
      </w:pPr>
      <w:r>
        <w:rPr>
          <w:rFonts w:hint="eastAsia"/>
          <w:sz w:val="24"/>
          <w:szCs w:val="24"/>
          <w:lang w:val="en-US" w:eastAsia="zh-CN"/>
        </w:rPr>
        <w:t>南方医科大学中西医结合医院班马鱼实验室消防改造项目</w:t>
      </w:r>
    </w:p>
    <w:p w14:paraId="6916D9EC">
      <w:pPr>
        <w:numPr>
          <w:ilvl w:val="0"/>
          <w:numId w:val="1"/>
        </w:numPr>
        <w:ind w:left="0" w:leftChars="0" w:firstLine="420" w:firstLineChars="0"/>
        <w:rPr>
          <w:rFonts w:hint="eastAsia"/>
          <w:b/>
          <w:bCs/>
          <w:sz w:val="24"/>
          <w:szCs w:val="24"/>
          <w:lang w:val="en-US" w:eastAsia="zh-CN"/>
        </w:rPr>
      </w:pPr>
      <w:r>
        <w:rPr>
          <w:rFonts w:hint="eastAsia"/>
          <w:b/>
          <w:bCs/>
          <w:sz w:val="24"/>
          <w:szCs w:val="24"/>
          <w:lang w:val="en-US" w:eastAsia="zh-CN"/>
        </w:rPr>
        <w:t>参选人资格</w:t>
      </w:r>
    </w:p>
    <w:p w14:paraId="66146E8A">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rPr>
        <w:t>1、参选人必须具备国内独立法人资格，持有合法的企业法人营业执照；</w:t>
      </w:r>
    </w:p>
    <w:p w14:paraId="473C2F5D">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rPr>
        <w:t>2、通过“信用中国”网站、“中国政府采购网”查询的主体信用记录，参选人未被列入信用记录失信被执行人、重大税收违法案件当事人名单、政府采购严重违法失信行为记录名单。（提供查询截图）</w:t>
      </w:r>
    </w:p>
    <w:p w14:paraId="35D68ADE">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0B5FC414">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lang w:val="en-US" w:eastAsia="zh-CN"/>
        </w:rPr>
        <w:t xml:space="preserve">4、  </w:t>
      </w:r>
      <w:r>
        <w:rPr>
          <w:rFonts w:hint="eastAsia" w:ascii="Arial Unicode MS" w:hAnsi="Arial Unicode MS" w:cs="宋体"/>
          <w:sz w:val="21"/>
          <w:szCs w:val="21"/>
        </w:rPr>
        <w:t>供应商具有有效的消防设施工程专业承包资质（响应时需提供证书复印件，依法顺延的应提供相关说明材料）。</w:t>
      </w:r>
    </w:p>
    <w:p w14:paraId="0914E392">
      <w:pPr>
        <w:numPr>
          <w:ilvl w:val="0"/>
          <w:numId w:val="0"/>
        </w:numPr>
        <w:rPr>
          <w:rFonts w:hint="default"/>
          <w:sz w:val="24"/>
          <w:szCs w:val="24"/>
          <w:u w:val="single"/>
          <w:lang w:val="en-US" w:eastAsia="zh-CN"/>
        </w:rPr>
      </w:pPr>
    </w:p>
    <w:p w14:paraId="345B6FC9">
      <w:pPr>
        <w:rPr>
          <w:rFonts w:hint="eastAsia"/>
          <w:sz w:val="24"/>
          <w:szCs w:val="24"/>
          <w:lang w:val="en-US" w:eastAsia="zh-CN"/>
        </w:rPr>
      </w:pPr>
    </w:p>
    <w:p w14:paraId="4FEC206B">
      <w:pPr>
        <w:numPr>
          <w:ilvl w:val="0"/>
          <w:numId w:val="1"/>
        </w:numPr>
        <w:ind w:left="0" w:leftChars="0" w:firstLine="420" w:firstLineChars="0"/>
        <w:rPr>
          <w:rFonts w:hint="eastAsia"/>
          <w:b/>
          <w:bCs/>
          <w:sz w:val="24"/>
          <w:szCs w:val="24"/>
          <w:lang w:val="en-US" w:eastAsia="zh-CN"/>
        </w:rPr>
      </w:pPr>
      <w:r>
        <w:rPr>
          <w:rFonts w:hint="eastAsia"/>
          <w:b/>
          <w:bCs/>
          <w:sz w:val="24"/>
          <w:szCs w:val="24"/>
          <w:lang w:val="en-US" w:eastAsia="zh-CN"/>
        </w:rPr>
        <w:t>项目需求</w:t>
      </w:r>
    </w:p>
    <w:p w14:paraId="6C5A60D8">
      <w:pPr>
        <w:numPr>
          <w:ilvl w:val="0"/>
          <w:numId w:val="0"/>
        </w:numPr>
        <w:ind w:leftChars="0"/>
        <w:rPr>
          <w:rFonts w:hint="eastAsia"/>
          <w:sz w:val="24"/>
          <w:szCs w:val="24"/>
          <w:lang w:val="en-US" w:eastAsia="zh-CN"/>
        </w:rPr>
      </w:pPr>
    </w:p>
    <w:p w14:paraId="53354E5F">
      <w:pPr>
        <w:numPr>
          <w:ilvl w:val="0"/>
          <w:numId w:val="2"/>
        </w:numPr>
        <w:ind w:left="425" w:leftChars="0" w:hanging="425" w:firstLineChars="0"/>
        <w:rPr>
          <w:rFonts w:hint="eastAsia"/>
          <w:sz w:val="24"/>
          <w:szCs w:val="24"/>
          <w:lang w:val="en-US" w:eastAsia="zh-CN"/>
        </w:rPr>
      </w:pPr>
      <w:r>
        <w:rPr>
          <w:rFonts w:hint="eastAsia"/>
          <w:sz w:val="24"/>
          <w:szCs w:val="24"/>
          <w:lang w:val="en-US" w:eastAsia="zh-CN"/>
        </w:rPr>
        <w:t>项目内容：对南方医科大学中西医结合医院班马鱼实验室区域的消防设施进行改造和增加消防设备。</w:t>
      </w:r>
    </w:p>
    <w:tbl>
      <w:tblPr>
        <w:tblStyle w:val="2"/>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026"/>
        <w:gridCol w:w="1867"/>
        <w:gridCol w:w="1966"/>
      </w:tblGrid>
      <w:tr w14:paraId="5DE49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6" w:type="dxa"/>
            <w:noWrap w:val="0"/>
            <w:vAlign w:val="top"/>
          </w:tcPr>
          <w:p w14:paraId="44157014">
            <w:pPr>
              <w:adjustRightInd w:val="0"/>
              <w:snapToGrid w:val="0"/>
              <w:spacing w:line="300" w:lineRule="auto"/>
              <w:ind w:firstLine="480" w:firstLineChars="200"/>
              <w:jc w:val="center"/>
              <w:rPr>
                <w:rFonts w:hint="eastAsia" w:ascii="Arial Unicode MS" w:hAnsi="Arial Unicode MS" w:cs="宋体"/>
                <w:sz w:val="24"/>
                <w:szCs w:val="24"/>
              </w:rPr>
            </w:pPr>
            <w:r>
              <w:rPr>
                <w:rFonts w:hint="eastAsia" w:ascii="Arial Unicode MS" w:hAnsi="Arial Unicode MS" w:cs="宋体"/>
                <w:sz w:val="24"/>
                <w:szCs w:val="24"/>
              </w:rPr>
              <w:t>采购标的</w:t>
            </w:r>
          </w:p>
        </w:tc>
        <w:tc>
          <w:tcPr>
            <w:tcW w:w="1867" w:type="dxa"/>
            <w:noWrap w:val="0"/>
            <w:vAlign w:val="top"/>
          </w:tcPr>
          <w:p w14:paraId="1677F4AA">
            <w:pPr>
              <w:adjustRightInd w:val="0"/>
              <w:snapToGrid w:val="0"/>
              <w:spacing w:line="300" w:lineRule="auto"/>
              <w:jc w:val="center"/>
              <w:rPr>
                <w:rFonts w:hint="eastAsia" w:ascii="Arial Unicode MS" w:hAnsi="Arial Unicode MS" w:cs="宋体"/>
                <w:sz w:val="24"/>
                <w:szCs w:val="24"/>
              </w:rPr>
            </w:pPr>
            <w:r>
              <w:rPr>
                <w:rFonts w:hint="eastAsia" w:ascii="Arial Unicode MS" w:hAnsi="Arial Unicode MS" w:cs="宋体"/>
                <w:sz w:val="24"/>
                <w:szCs w:val="24"/>
              </w:rPr>
              <w:t>数量（单位）</w:t>
            </w:r>
          </w:p>
        </w:tc>
        <w:tc>
          <w:tcPr>
            <w:tcW w:w="1966" w:type="dxa"/>
            <w:noWrap w:val="0"/>
            <w:vAlign w:val="top"/>
          </w:tcPr>
          <w:p w14:paraId="5CAE0C09">
            <w:pPr>
              <w:adjustRightInd w:val="0"/>
              <w:snapToGrid w:val="0"/>
              <w:spacing w:line="300" w:lineRule="auto"/>
              <w:jc w:val="center"/>
              <w:rPr>
                <w:rFonts w:hint="eastAsia" w:ascii="Arial Unicode MS" w:hAnsi="Arial Unicode MS" w:cs="宋体"/>
                <w:sz w:val="24"/>
                <w:szCs w:val="24"/>
              </w:rPr>
            </w:pPr>
            <w:r>
              <w:rPr>
                <w:rFonts w:hint="eastAsia" w:ascii="Arial Unicode MS" w:hAnsi="Arial Unicode MS" w:cs="宋体"/>
                <w:sz w:val="24"/>
                <w:szCs w:val="24"/>
              </w:rPr>
              <w:t>预算(元)</w:t>
            </w:r>
          </w:p>
        </w:tc>
      </w:tr>
      <w:tr w14:paraId="23495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6" w:type="dxa"/>
            <w:noWrap w:val="0"/>
            <w:vAlign w:val="top"/>
          </w:tcPr>
          <w:p w14:paraId="5645889A">
            <w:pPr>
              <w:adjustRightInd w:val="0"/>
              <w:snapToGrid w:val="0"/>
              <w:spacing w:line="300" w:lineRule="auto"/>
              <w:ind w:firstLine="480" w:firstLineChars="200"/>
              <w:jc w:val="center"/>
              <w:rPr>
                <w:rFonts w:hint="eastAsia" w:ascii="Arial Unicode MS" w:hAnsi="Arial Unicode MS" w:cs="宋体"/>
                <w:sz w:val="24"/>
                <w:szCs w:val="24"/>
              </w:rPr>
            </w:pPr>
            <w:r>
              <w:rPr>
                <w:rFonts w:hint="eastAsia"/>
                <w:sz w:val="24"/>
                <w:szCs w:val="24"/>
                <w:lang w:val="en-US" w:eastAsia="zh-CN"/>
              </w:rPr>
              <w:t>南方医科大学中西医结合医院班马鱼实验室消防改造</w:t>
            </w:r>
          </w:p>
        </w:tc>
        <w:tc>
          <w:tcPr>
            <w:tcW w:w="1867" w:type="dxa"/>
            <w:noWrap w:val="0"/>
            <w:vAlign w:val="top"/>
          </w:tcPr>
          <w:p w14:paraId="191B9DF6">
            <w:pPr>
              <w:adjustRightInd w:val="0"/>
              <w:snapToGrid w:val="0"/>
              <w:spacing w:line="300" w:lineRule="auto"/>
              <w:ind w:firstLine="480" w:firstLineChars="200"/>
              <w:jc w:val="center"/>
              <w:rPr>
                <w:rFonts w:hint="eastAsia" w:ascii="Arial Unicode MS" w:hAnsi="Arial Unicode MS" w:cs="宋体" w:eastAsiaTheme="minorEastAsia"/>
                <w:sz w:val="24"/>
                <w:szCs w:val="24"/>
                <w:lang w:val="en-US" w:eastAsia="zh-CN"/>
              </w:rPr>
            </w:pPr>
            <w:r>
              <w:rPr>
                <w:rFonts w:hint="eastAsia" w:ascii="Arial Unicode MS" w:hAnsi="Arial Unicode MS" w:cs="宋体"/>
                <w:sz w:val="24"/>
                <w:szCs w:val="24"/>
                <w:lang w:val="en-US" w:eastAsia="zh-CN"/>
              </w:rPr>
              <w:t>1</w:t>
            </w:r>
          </w:p>
        </w:tc>
        <w:tc>
          <w:tcPr>
            <w:tcW w:w="1966" w:type="dxa"/>
            <w:noWrap w:val="0"/>
            <w:vAlign w:val="top"/>
          </w:tcPr>
          <w:p w14:paraId="26610DC4">
            <w:pPr>
              <w:adjustRightInd w:val="0"/>
              <w:snapToGrid w:val="0"/>
              <w:spacing w:line="300" w:lineRule="auto"/>
              <w:jc w:val="center"/>
              <w:rPr>
                <w:rFonts w:hint="default" w:ascii="Arial Unicode MS" w:hAnsi="Arial Unicode MS" w:cs="宋体" w:eastAsiaTheme="minorEastAsia"/>
                <w:sz w:val="24"/>
                <w:szCs w:val="24"/>
                <w:lang w:val="en-US" w:eastAsia="zh-CN"/>
              </w:rPr>
            </w:pPr>
          </w:p>
        </w:tc>
      </w:tr>
    </w:tbl>
    <w:p w14:paraId="5CC58073">
      <w:pPr>
        <w:numPr>
          <w:ilvl w:val="0"/>
          <w:numId w:val="0"/>
        </w:numPr>
        <w:rPr>
          <w:rFonts w:hint="default"/>
          <w:sz w:val="24"/>
          <w:szCs w:val="24"/>
          <w:lang w:val="en-US" w:eastAsia="zh-CN"/>
        </w:rPr>
      </w:pPr>
    </w:p>
    <w:p w14:paraId="69E9AAA3">
      <w:pPr>
        <w:numPr>
          <w:ilvl w:val="0"/>
          <w:numId w:val="0"/>
        </w:numPr>
        <w:rPr>
          <w:rFonts w:hint="default"/>
          <w:sz w:val="24"/>
          <w:szCs w:val="24"/>
          <w:lang w:val="en-US" w:eastAsia="zh-CN"/>
        </w:rPr>
      </w:pPr>
    </w:p>
    <w:p w14:paraId="63B1DF7B">
      <w:pPr>
        <w:numPr>
          <w:ilvl w:val="0"/>
          <w:numId w:val="0"/>
        </w:numPr>
        <w:rPr>
          <w:rFonts w:hint="default"/>
          <w:sz w:val="24"/>
          <w:szCs w:val="24"/>
          <w:lang w:val="en-US" w:eastAsia="zh-CN"/>
        </w:rPr>
      </w:pPr>
    </w:p>
    <w:p w14:paraId="4F869931">
      <w:pPr>
        <w:numPr>
          <w:ilvl w:val="0"/>
          <w:numId w:val="0"/>
        </w:numPr>
        <w:rPr>
          <w:rFonts w:hint="default"/>
          <w:sz w:val="24"/>
          <w:szCs w:val="24"/>
          <w:lang w:val="en-US" w:eastAsia="zh-CN"/>
        </w:rPr>
      </w:pPr>
    </w:p>
    <w:p w14:paraId="712919E6">
      <w:pPr>
        <w:numPr>
          <w:ilvl w:val="0"/>
          <w:numId w:val="0"/>
        </w:numPr>
        <w:rPr>
          <w:rFonts w:hint="default"/>
          <w:sz w:val="24"/>
          <w:szCs w:val="24"/>
          <w:lang w:val="en-US" w:eastAsia="zh-CN"/>
        </w:rPr>
      </w:pPr>
    </w:p>
    <w:p w14:paraId="3292BB9F">
      <w:pPr>
        <w:numPr>
          <w:ilvl w:val="0"/>
          <w:numId w:val="0"/>
        </w:numPr>
        <w:rPr>
          <w:rFonts w:hint="default"/>
          <w:sz w:val="24"/>
          <w:szCs w:val="24"/>
          <w:lang w:val="en-US" w:eastAsia="zh-CN"/>
        </w:rPr>
      </w:pPr>
    </w:p>
    <w:p w14:paraId="00F6E00E">
      <w:pPr>
        <w:numPr>
          <w:ilvl w:val="0"/>
          <w:numId w:val="0"/>
        </w:numPr>
        <w:rPr>
          <w:rFonts w:hint="default"/>
          <w:sz w:val="24"/>
          <w:szCs w:val="24"/>
          <w:lang w:val="en-US" w:eastAsia="zh-CN"/>
        </w:rPr>
      </w:pPr>
    </w:p>
    <w:p w14:paraId="479911FB">
      <w:pPr>
        <w:spacing w:line="360" w:lineRule="auto"/>
        <w:rPr>
          <w:rFonts w:hint="eastAsia"/>
          <w:b/>
          <w:bCs/>
        </w:rPr>
      </w:pPr>
      <w:r>
        <w:rPr>
          <w:rFonts w:hint="eastAsia"/>
          <w:b/>
          <w:bCs/>
          <w:lang w:val="en-US" w:eastAsia="zh-CN"/>
        </w:rPr>
        <w:t xml:space="preserve"> </w:t>
      </w:r>
      <w:r>
        <w:rPr>
          <w:rFonts w:hint="eastAsia"/>
          <w:b/>
          <w:bCs/>
        </w:rPr>
        <w:t>（</w:t>
      </w:r>
      <w:r>
        <w:rPr>
          <w:rFonts w:hint="eastAsia"/>
          <w:b/>
          <w:bCs/>
          <w:lang w:val="en-US" w:eastAsia="zh-CN"/>
        </w:rPr>
        <w:t>二</w:t>
      </w:r>
      <w:r>
        <w:rPr>
          <w:rFonts w:hint="eastAsia"/>
          <w:b/>
          <w:bCs/>
        </w:rPr>
        <w:t>）技术（服务）要求</w:t>
      </w:r>
    </w:p>
    <w:p w14:paraId="7E7F56AB">
      <w:pPr>
        <w:pStyle w:val="5"/>
        <w:numPr>
          <w:ilvl w:val="0"/>
          <w:numId w:val="0"/>
        </w:numPr>
        <w:ind w:leftChars="0"/>
      </w:pPr>
      <w:r>
        <w:rPr>
          <w:rFonts w:hint="eastAsia"/>
          <w:b/>
          <w:bCs/>
          <w:lang w:val="en-US" w:eastAsia="zh-CN"/>
        </w:rPr>
        <w:t>1、</w:t>
      </w:r>
      <w:r>
        <w:rPr>
          <w:b/>
          <w:bCs/>
        </w:rPr>
        <w:t>系统兼容性</w:t>
      </w:r>
      <w:r>
        <w:t>：新增的消防火灾报警系统应能与医院现有的消防系统</w:t>
      </w:r>
      <w:r>
        <w:rPr>
          <w:rFonts w:hint="eastAsia"/>
          <w:lang w:eastAsia="zh-CN"/>
        </w:rPr>
        <w:t>，</w:t>
      </w:r>
      <w:r>
        <w:t>实现无缝对接与联动控制，确保整个消防系统的协同工作。
</w:t>
      </w:r>
    </w:p>
    <w:p w14:paraId="1E4BE5A2">
      <w:pPr>
        <w:pStyle w:val="5"/>
        <w:numPr>
          <w:ilvl w:val="0"/>
          <w:numId w:val="0"/>
        </w:numPr>
        <w:ind w:leftChars="0"/>
      </w:pPr>
      <w:r>
        <w:rPr>
          <w:rFonts w:hint="eastAsia"/>
          <w:b/>
          <w:bCs/>
          <w:lang w:val="en-US" w:eastAsia="zh-CN"/>
        </w:rPr>
        <w:t>2、</w:t>
      </w:r>
      <w:r>
        <w:rPr>
          <w:b/>
          <w:bCs/>
        </w:rPr>
        <w:t>可靠性</w:t>
      </w:r>
      <w:r>
        <w:t>：系统设备应具备高可靠性，能在医院复杂的电磁环境、温湿度环境下稳定运行。关键设备应具备冗余设计，避免因单点故障导致系统失效。
</w:t>
      </w:r>
    </w:p>
    <w:p w14:paraId="29E4FCE1">
      <w:pPr>
        <w:pStyle w:val="5"/>
        <w:numPr>
          <w:ilvl w:val="0"/>
          <w:numId w:val="0"/>
        </w:numPr>
        <w:ind w:leftChars="0"/>
      </w:pPr>
      <w:r>
        <w:rPr>
          <w:rFonts w:hint="eastAsia"/>
          <w:b/>
          <w:bCs/>
          <w:lang w:val="en-US" w:eastAsia="zh-CN"/>
        </w:rPr>
        <w:t>3、</w:t>
      </w:r>
      <w:r>
        <w:rPr>
          <w:b/>
          <w:bCs/>
        </w:rPr>
        <w:t>安全性</w:t>
      </w:r>
      <w:r>
        <w:t>：设计和安装应充分考虑人员安全，设置必要的警示标识、疏散指示等。</w:t>
      </w:r>
    </w:p>
    <w:p w14:paraId="5F4D9F69">
      <w:pPr>
        <w:pStyle w:val="5"/>
        <w:numPr>
          <w:ilvl w:val="0"/>
          <w:numId w:val="0"/>
        </w:numPr>
        <w:ind w:leftChars="0"/>
      </w:pPr>
      <w:r>
        <w:rPr>
          <w:rFonts w:hint="eastAsia"/>
          <w:b/>
          <w:bCs/>
          <w:lang w:val="en-US" w:eastAsia="zh-CN"/>
        </w:rPr>
        <w:t>4、</w:t>
      </w:r>
      <w:r>
        <w:rPr>
          <w:b/>
          <w:bCs/>
        </w:rPr>
        <w:t>易维护性</w:t>
      </w:r>
      <w:r>
        <w:t>：系统设备应便于维护和检修，具备故障自诊断功能，能及时发现并报告设备故障。设备的安装位置应便于操作和维护人员接近。
</w:t>
      </w:r>
    </w:p>
    <w:p w14:paraId="554CAD57">
      <w:pPr>
        <w:pStyle w:val="5"/>
        <w:numPr>
          <w:ilvl w:val="0"/>
          <w:numId w:val="0"/>
        </w:numPr>
        <w:ind w:leftChars="0"/>
        <w:rPr>
          <w:rFonts w:hint="default" w:eastAsia="等线"/>
          <w:lang w:val="en-US" w:eastAsia="zh-CN"/>
        </w:rPr>
      </w:pPr>
      <w:r>
        <w:rPr>
          <w:rFonts w:hint="eastAsia"/>
          <w:b/>
          <w:bCs/>
          <w:lang w:val="en-US" w:eastAsia="zh-CN"/>
        </w:rPr>
        <w:t>5、规范标准</w:t>
      </w:r>
      <w:r>
        <w:rPr>
          <w:rFonts w:hint="eastAsia"/>
          <w:lang w:val="en-US" w:eastAsia="zh-CN"/>
        </w:rPr>
        <w:t>：执行委托方提供的基础数据及有关资料；遵循承办单位编制项目可行研究报告委托书相关要求；严格依据《火灾自动报警系统设计规范》（GB50116-2013），同时符合国家、行业及地方现行其他消防相关标准规范，确保设计、安装、运行等各环节合规。</w:t>
      </w:r>
    </w:p>
    <w:p w14:paraId="5FC00342">
      <w:pPr>
        <w:spacing w:line="360" w:lineRule="auto"/>
        <w:rPr>
          <w:b/>
          <w:bCs/>
        </w:rPr>
      </w:pPr>
      <w:r>
        <w:rPr>
          <w:rFonts w:hint="eastAsia"/>
          <w:b/>
          <w:bCs/>
        </w:rPr>
        <w:t>（</w:t>
      </w:r>
      <w:r>
        <w:rPr>
          <w:rFonts w:hint="eastAsia"/>
          <w:b/>
          <w:bCs/>
          <w:lang w:val="en-US" w:eastAsia="zh-CN"/>
        </w:rPr>
        <w:t>三</w:t>
      </w:r>
      <w:r>
        <w:rPr>
          <w:rFonts w:hint="eastAsia"/>
          <w:b/>
          <w:bCs/>
        </w:rPr>
        <w:t>）商务要求</w:t>
      </w:r>
    </w:p>
    <w:p w14:paraId="6449E55F">
      <w:pPr>
        <w:spacing w:line="360" w:lineRule="auto"/>
      </w:pPr>
      <w:r>
        <w:rPr>
          <w:rFonts w:hint="eastAsia"/>
        </w:rPr>
        <w:t>1、工期要求：</w:t>
      </w:r>
    </w:p>
    <w:p w14:paraId="25A35BCF">
      <w:pPr>
        <w:widowControl w:val="0"/>
        <w:spacing w:line="360" w:lineRule="auto"/>
        <w:ind w:left="13" w:leftChars="6" w:firstLine="405" w:firstLineChars="193"/>
      </w:pPr>
      <w:r>
        <w:rPr>
          <w:rFonts w:hint="eastAsia" w:ascii="宋体"/>
          <w:color w:val="000000"/>
          <w:szCs w:val="21"/>
        </w:rPr>
        <w:t>工</w:t>
      </w:r>
      <w:r>
        <w:rPr>
          <w:rFonts w:hint="eastAsia" w:ascii="宋体"/>
          <w:color w:val="000000"/>
          <w:szCs w:val="21"/>
          <w:highlight w:val="none"/>
        </w:rPr>
        <w:t>期</w:t>
      </w:r>
      <w:r>
        <w:rPr>
          <w:rFonts w:hint="eastAsia" w:ascii="宋体"/>
          <w:color w:val="000000"/>
          <w:szCs w:val="21"/>
          <w:highlight w:val="none"/>
          <w:lang w:val="en-US" w:eastAsia="zh-CN"/>
        </w:rPr>
        <w:t>10</w:t>
      </w:r>
      <w:r>
        <w:rPr>
          <w:rFonts w:hint="eastAsia" w:ascii="宋体"/>
          <w:color w:val="000000"/>
          <w:szCs w:val="21"/>
          <w:highlight w:val="none"/>
        </w:rPr>
        <w:t>日历天，</w:t>
      </w:r>
      <w:r>
        <w:rPr>
          <w:rFonts w:hint="eastAsia" w:ascii="宋体"/>
          <w:color w:val="000000"/>
          <w:szCs w:val="21"/>
        </w:rPr>
        <w:t>具体工期计算以开工报告和竣工验收报告为准。</w:t>
      </w:r>
    </w:p>
    <w:p w14:paraId="0705E880">
      <w:pPr>
        <w:spacing w:line="360" w:lineRule="auto"/>
      </w:pPr>
      <w:r>
        <w:rPr>
          <w:rFonts w:hint="eastAsia"/>
        </w:rPr>
        <w:t>2、承包方式：</w:t>
      </w:r>
    </w:p>
    <w:p w14:paraId="31E90EDD">
      <w:pPr>
        <w:pStyle w:val="4"/>
        <w:jc w:val="left"/>
        <w:rPr>
          <w:sz w:val="21"/>
        </w:rPr>
      </w:pPr>
      <w:r>
        <w:rPr>
          <w:sz w:val="21"/>
        </w:rPr>
        <w:t>响应价格为总价包干，包括但不限于深化设计及相关预算编制、人工、材料、设备机械、管理费、措施项目费、其他项目费、规费、税金、安全生产措施费、材料检验费、利润、保险、政策性文件规定及合同包含的所有风险、责任等各项应有费用（包括人工、材料、机械等上涨风险费用）。</w:t>
      </w:r>
      <w:r>
        <w:rPr>
          <w:rFonts w:hint="eastAsia"/>
          <w:sz w:val="21"/>
          <w:lang w:val="en-US" w:eastAsia="zh-CN"/>
        </w:rPr>
        <w:t>响应</w:t>
      </w:r>
      <w:r>
        <w:rPr>
          <w:sz w:val="21"/>
        </w:rPr>
        <w:t>报价还包括跟本项目有关与各级政府管理部门的沟通协调、办理施工许可等证所需费用、临时水电接驳费、临时道路修建费、预留金等，即从开工直至通过采购人验收，交付使用全过程中的应预见和不可预见费用等全部费用。</w:t>
      </w:r>
    </w:p>
    <w:p w14:paraId="47B0E865">
      <w:pPr>
        <w:pStyle w:val="4"/>
        <w:jc w:val="left"/>
        <w:rPr>
          <w:rFonts w:hint="eastAsia"/>
          <w:sz w:val="21"/>
        </w:rPr>
      </w:pPr>
      <w:r>
        <w:rPr>
          <w:rFonts w:hint="eastAsia"/>
          <w:sz w:val="21"/>
        </w:rPr>
        <w:t>安装要求</w:t>
      </w:r>
    </w:p>
    <w:p w14:paraId="539176EA">
      <w:pPr>
        <w:pStyle w:val="4"/>
        <w:jc w:val="left"/>
        <w:rPr>
          <w:rFonts w:hint="default" w:eastAsiaTheme="minorEastAsia"/>
          <w:b/>
          <w:bCs/>
          <w:sz w:val="21"/>
          <w:lang w:val="en-US" w:eastAsia="zh-CN"/>
        </w:rPr>
      </w:pPr>
      <w:r>
        <w:rPr>
          <w:rFonts w:hint="eastAsia"/>
          <w:b/>
          <w:bCs/>
          <w:sz w:val="21"/>
          <w:lang w:eastAsia="zh-CN"/>
        </w:rPr>
        <w:t>（</w:t>
      </w:r>
      <w:r>
        <w:rPr>
          <w:rFonts w:hint="eastAsia"/>
          <w:b/>
          <w:bCs/>
          <w:sz w:val="21"/>
          <w:lang w:val="en-US" w:eastAsia="zh-CN"/>
        </w:rPr>
        <w:t>四</w:t>
      </w:r>
      <w:r>
        <w:rPr>
          <w:rFonts w:hint="eastAsia"/>
          <w:b/>
          <w:bCs/>
          <w:sz w:val="21"/>
          <w:lang w:eastAsia="zh-CN"/>
        </w:rPr>
        <w:t>）</w:t>
      </w:r>
      <w:r>
        <w:rPr>
          <w:rFonts w:hint="eastAsia"/>
          <w:b/>
          <w:bCs/>
          <w:sz w:val="21"/>
          <w:lang w:val="en-US" w:eastAsia="zh-CN"/>
        </w:rPr>
        <w:t>安装要求</w:t>
      </w:r>
    </w:p>
    <w:p w14:paraId="6DDE295D">
      <w:pPr>
        <w:pStyle w:val="4"/>
        <w:jc w:val="left"/>
        <w:rPr>
          <w:rFonts w:hint="eastAsia"/>
          <w:sz w:val="21"/>
        </w:rPr>
      </w:pPr>
      <w:r>
        <w:rPr>
          <w:rFonts w:hint="eastAsia"/>
          <w:sz w:val="21"/>
        </w:rPr>
        <w:t>1、安装施工单位资质：承担安装施工的单位应具备相关社会消防技术服务资质备案和消防设施工程专业承包二级及以上资质，且具有丰富的医院消防系统安装经验。施工人员应具备相应的从业资格证书。</w:t>
      </w:r>
    </w:p>
    <w:p w14:paraId="6112E008">
      <w:pPr>
        <w:pStyle w:val="4"/>
        <w:jc w:val="left"/>
        <w:rPr>
          <w:rFonts w:hint="eastAsia"/>
          <w:sz w:val="21"/>
        </w:rPr>
      </w:pPr>
    </w:p>
    <w:p w14:paraId="10B0FC57">
      <w:pPr>
        <w:pStyle w:val="4"/>
        <w:jc w:val="left"/>
        <w:rPr>
          <w:rFonts w:hint="eastAsia"/>
          <w:sz w:val="21"/>
        </w:rPr>
      </w:pPr>
      <w:r>
        <w:rPr>
          <w:rFonts w:hint="eastAsia"/>
          <w:sz w:val="21"/>
        </w:rPr>
        <w:t>2、施工方案：施工单位应在签订合同后，根据医院重点场所的实际情况，制定详细的施工方案，包括施工进度计划、安全保障措施、质量控制措施等，并报医院审核批准。</w:t>
      </w:r>
    </w:p>
    <w:p w14:paraId="40A2FBB6">
      <w:pPr>
        <w:pStyle w:val="4"/>
        <w:jc w:val="left"/>
        <w:rPr>
          <w:rFonts w:hint="eastAsia"/>
          <w:sz w:val="21"/>
        </w:rPr>
      </w:pPr>
    </w:p>
    <w:p w14:paraId="59B3090A">
      <w:pPr>
        <w:pStyle w:val="4"/>
        <w:jc w:val="left"/>
        <w:rPr>
          <w:rFonts w:hint="eastAsia"/>
          <w:sz w:val="21"/>
        </w:rPr>
      </w:pPr>
      <w:r>
        <w:rPr>
          <w:rFonts w:hint="eastAsia"/>
          <w:sz w:val="21"/>
        </w:rPr>
        <w:t>3、施工过程管理：在施工过程中，施工单位应严格遵守医院的各项规章制度，确保施工不影响医院的正常医疗秩序。做好施工现场的安全防护工作，设置明显的安全警示标识，防止发生安全事故。</w:t>
      </w:r>
    </w:p>
    <w:p w14:paraId="1F1F6963">
      <w:pPr>
        <w:pStyle w:val="4"/>
        <w:jc w:val="left"/>
        <w:rPr>
          <w:rFonts w:hint="eastAsia"/>
          <w:sz w:val="21"/>
        </w:rPr>
      </w:pPr>
    </w:p>
    <w:p w14:paraId="40CE9DDE">
      <w:pPr>
        <w:pStyle w:val="4"/>
        <w:jc w:val="left"/>
        <w:rPr>
          <w:rFonts w:hint="eastAsia"/>
          <w:sz w:val="21"/>
        </w:rPr>
      </w:pPr>
      <w:r>
        <w:rPr>
          <w:rFonts w:hint="eastAsia"/>
          <w:sz w:val="21"/>
        </w:rPr>
        <w:t>4、调试与验收：系统安装完成后，施工单位应进行全面的调试，确保系统各项功能正常运行。调试完成后，应按照国家相关消防验收标准，组织医院及相关部门进行验收。验收合格后方可交付使用。</w:t>
      </w:r>
    </w:p>
    <w:p w14:paraId="73074C91">
      <w:pPr>
        <w:pStyle w:val="4"/>
        <w:jc w:val="left"/>
        <w:rPr>
          <w:rFonts w:hint="eastAsia"/>
          <w:sz w:val="21"/>
        </w:rPr>
      </w:pPr>
    </w:p>
    <w:p w14:paraId="5021DBE1">
      <w:pPr>
        <w:pStyle w:val="4"/>
        <w:jc w:val="left"/>
        <w:rPr>
          <w:rFonts w:hint="eastAsia"/>
          <w:b/>
          <w:bCs/>
          <w:sz w:val="21"/>
        </w:rPr>
      </w:pPr>
      <w:r>
        <w:rPr>
          <w:rFonts w:hint="eastAsia"/>
          <w:b/>
          <w:bCs/>
          <w:sz w:val="21"/>
          <w:lang w:eastAsia="zh-CN"/>
        </w:rPr>
        <w:t>（</w:t>
      </w:r>
      <w:r>
        <w:rPr>
          <w:rFonts w:hint="eastAsia"/>
          <w:b/>
          <w:bCs/>
          <w:sz w:val="21"/>
        </w:rPr>
        <w:t>五</w:t>
      </w:r>
      <w:r>
        <w:rPr>
          <w:rFonts w:hint="eastAsia"/>
          <w:b/>
          <w:bCs/>
          <w:sz w:val="21"/>
          <w:lang w:eastAsia="zh-CN"/>
        </w:rPr>
        <w:t>）</w:t>
      </w:r>
      <w:r>
        <w:rPr>
          <w:rFonts w:hint="eastAsia"/>
          <w:b/>
          <w:bCs/>
          <w:sz w:val="21"/>
        </w:rPr>
        <w:t>、供应商资质要求</w:t>
      </w:r>
    </w:p>
    <w:p w14:paraId="366EDEE3">
      <w:pPr>
        <w:pStyle w:val="4"/>
        <w:jc w:val="left"/>
        <w:rPr>
          <w:rFonts w:hint="eastAsia"/>
          <w:sz w:val="21"/>
        </w:rPr>
      </w:pPr>
    </w:p>
    <w:p w14:paraId="674C2661">
      <w:pPr>
        <w:pStyle w:val="4"/>
        <w:jc w:val="left"/>
        <w:rPr>
          <w:rFonts w:hint="eastAsia"/>
          <w:sz w:val="21"/>
        </w:rPr>
      </w:pPr>
      <w:r>
        <w:rPr>
          <w:rFonts w:hint="eastAsia"/>
          <w:sz w:val="21"/>
        </w:rPr>
        <w:t>1、具有独立法人资格，营业执照经营范围包含消防设备销售及安装等相关内容。</w:t>
      </w:r>
    </w:p>
    <w:p w14:paraId="4CB3AEFF">
      <w:pPr>
        <w:pStyle w:val="4"/>
        <w:jc w:val="left"/>
        <w:rPr>
          <w:rFonts w:hint="eastAsia"/>
          <w:sz w:val="21"/>
        </w:rPr>
      </w:pPr>
      <w:r>
        <w:rPr>
          <w:rFonts w:hint="eastAsia"/>
          <w:sz w:val="21"/>
        </w:rPr>
        <w:t>2、具备良好的商业信誉和健全的财务会计制度，提供近三年的财务审计报告。</w:t>
      </w:r>
    </w:p>
    <w:p w14:paraId="70694DE2">
      <w:pPr>
        <w:pStyle w:val="4"/>
        <w:jc w:val="left"/>
        <w:rPr>
          <w:rFonts w:hint="eastAsia"/>
          <w:sz w:val="21"/>
        </w:rPr>
      </w:pPr>
      <w:r>
        <w:rPr>
          <w:rFonts w:hint="eastAsia"/>
          <w:sz w:val="21"/>
        </w:rPr>
        <w:t>3、具有履行合同所必需的设备和专业技术能力，提供相关设备清单及技术人员资质证书。</w:t>
      </w:r>
    </w:p>
    <w:p w14:paraId="662F4971">
      <w:pPr>
        <w:pStyle w:val="4"/>
        <w:jc w:val="left"/>
        <w:rPr>
          <w:rFonts w:hint="eastAsia"/>
          <w:sz w:val="21"/>
        </w:rPr>
      </w:pPr>
      <w:r>
        <w:rPr>
          <w:rFonts w:hint="eastAsia"/>
          <w:sz w:val="21"/>
        </w:rPr>
        <w:t>4、有依法缴纳税收和社会保障资金的良好记录，提供近一年的纳税证明及社保缴纳证明。</w:t>
      </w:r>
    </w:p>
    <w:p w14:paraId="0AB57435">
      <w:pPr>
        <w:pStyle w:val="4"/>
        <w:jc w:val="left"/>
        <w:rPr>
          <w:rFonts w:hint="eastAsia"/>
          <w:sz w:val="21"/>
        </w:rPr>
      </w:pPr>
      <w:r>
        <w:rPr>
          <w:rFonts w:hint="eastAsia"/>
          <w:sz w:val="21"/>
        </w:rPr>
        <w:t>5、参加政府采购活动前三年内，在经营活动中没有重大违法记录，提供相关声明函。</w:t>
      </w:r>
    </w:p>
    <w:p w14:paraId="7D7F5EB7">
      <w:pPr>
        <w:pStyle w:val="4"/>
        <w:jc w:val="left"/>
        <w:rPr>
          <w:rFonts w:hint="eastAsia"/>
          <w:sz w:val="21"/>
        </w:rPr>
      </w:pPr>
      <w:r>
        <w:rPr>
          <w:rFonts w:hint="eastAsia"/>
          <w:sz w:val="21"/>
        </w:rPr>
        <w:t>6、所提供的消防设备应具有国家相关部门颁发的产品合格证书、检验报告等。</w:t>
      </w:r>
    </w:p>
    <w:p w14:paraId="2A0F625D">
      <w:pPr>
        <w:pStyle w:val="4"/>
        <w:jc w:val="left"/>
        <w:rPr>
          <w:rFonts w:hint="eastAsia"/>
          <w:sz w:val="21"/>
        </w:rPr>
      </w:pPr>
      <w:r>
        <w:rPr>
          <w:rFonts w:hint="eastAsia"/>
          <w:sz w:val="21"/>
        </w:rPr>
        <w:t>六、售后服务要求</w:t>
      </w:r>
    </w:p>
    <w:p w14:paraId="1800A2B9">
      <w:pPr>
        <w:pStyle w:val="4"/>
        <w:jc w:val="left"/>
        <w:rPr>
          <w:rFonts w:hint="eastAsia"/>
          <w:sz w:val="21"/>
        </w:rPr>
      </w:pPr>
    </w:p>
    <w:p w14:paraId="7FF52458">
      <w:pPr>
        <w:pStyle w:val="4"/>
        <w:jc w:val="left"/>
        <w:rPr>
          <w:rFonts w:hint="eastAsia"/>
          <w:sz w:val="21"/>
        </w:rPr>
      </w:pPr>
      <w:r>
        <w:rPr>
          <w:rFonts w:hint="eastAsia"/>
          <w:sz w:val="21"/>
        </w:rPr>
        <w:t>1、质保期：系统整体质保期不少于 [2] 年，在质保期内，供应商应免费对系统进行维护、保养、维修，确保系统正常运行。</w:t>
      </w:r>
    </w:p>
    <w:p w14:paraId="399CF0BC">
      <w:pPr>
        <w:pStyle w:val="4"/>
        <w:jc w:val="left"/>
        <w:rPr>
          <w:rFonts w:hint="eastAsia"/>
          <w:sz w:val="21"/>
        </w:rPr>
      </w:pPr>
    </w:p>
    <w:p w14:paraId="4E98C872">
      <w:pPr>
        <w:pStyle w:val="4"/>
        <w:jc w:val="left"/>
        <w:rPr>
          <w:rFonts w:hint="eastAsia"/>
          <w:sz w:val="21"/>
        </w:rPr>
      </w:pPr>
      <w:r>
        <w:rPr>
          <w:rFonts w:hint="eastAsia"/>
          <w:sz w:val="21"/>
        </w:rPr>
        <w:t>2、响应时间：在接到医院关于系统故障的通知后，供应商应在 [1] 小时内做出响应，并在 [24] 小时内到达现场进行维修。</w:t>
      </w:r>
    </w:p>
    <w:p w14:paraId="48BC9DB0">
      <w:pPr>
        <w:pStyle w:val="4"/>
        <w:jc w:val="left"/>
        <w:rPr>
          <w:rFonts w:hint="eastAsia"/>
          <w:sz w:val="21"/>
        </w:rPr>
      </w:pPr>
    </w:p>
    <w:p w14:paraId="5937E4A8">
      <w:pPr>
        <w:pStyle w:val="4"/>
        <w:jc w:val="left"/>
        <w:rPr>
          <w:rFonts w:hint="eastAsia"/>
          <w:sz w:val="21"/>
        </w:rPr>
      </w:pPr>
      <w:r>
        <w:rPr>
          <w:rFonts w:hint="eastAsia"/>
          <w:sz w:val="21"/>
        </w:rPr>
        <w:t>3、定期回访：质保期内，供应商应每季度对系统进行一次回访，检查系统运行情况，及时发现并解决潜在问题。</w:t>
      </w:r>
    </w:p>
    <w:p w14:paraId="259F924C">
      <w:pPr>
        <w:pStyle w:val="4"/>
        <w:jc w:val="left"/>
        <w:rPr>
          <w:rFonts w:hint="eastAsia"/>
          <w:sz w:val="21"/>
        </w:rPr>
      </w:pPr>
    </w:p>
    <w:p w14:paraId="08FFA237">
      <w:pPr>
        <w:pStyle w:val="4"/>
        <w:jc w:val="left"/>
        <w:rPr>
          <w:rFonts w:hint="eastAsia"/>
          <w:sz w:val="21"/>
        </w:rPr>
      </w:pPr>
      <w:r>
        <w:rPr>
          <w:rFonts w:hint="eastAsia"/>
          <w:sz w:val="21"/>
        </w:rPr>
        <w:t>4、技术培训：供应商应负责对医院相关人员进行系统操作、维护等方面的技术培训，确保医院人员能熟练掌握系统的使用和基本维护技能。</w:t>
      </w:r>
    </w:p>
    <w:p w14:paraId="06B20DBC">
      <w:pPr>
        <w:pStyle w:val="4"/>
        <w:jc w:val="left"/>
        <w:rPr>
          <w:sz w:val="21"/>
        </w:rPr>
      </w:pPr>
    </w:p>
    <w:p w14:paraId="1662EA13">
      <w:pPr>
        <w:pStyle w:val="4"/>
        <w:jc w:val="left"/>
        <w:rPr>
          <w:sz w:val="21"/>
        </w:rPr>
      </w:pPr>
    </w:p>
    <w:p w14:paraId="0FE27F3A">
      <w:pPr>
        <w:spacing w:line="360" w:lineRule="auto"/>
      </w:pPr>
      <w:r>
        <w:rPr>
          <w:rFonts w:hint="eastAsia"/>
          <w:lang w:val="en-US" w:eastAsia="zh-CN"/>
        </w:rPr>
        <w:t>（六）</w:t>
      </w:r>
      <w:r>
        <w:rPr>
          <w:rFonts w:hint="eastAsia" w:ascii="宋体"/>
          <w:szCs w:val="21"/>
        </w:rPr>
        <w:t>支付方式：</w:t>
      </w:r>
    </w:p>
    <w:p w14:paraId="7F3797CD">
      <w:pPr>
        <w:spacing w:line="360" w:lineRule="auto"/>
        <w:ind w:firstLine="420" w:firstLineChars="200"/>
      </w:pPr>
      <w:r>
        <w:rPr>
          <w:rFonts w:hint="eastAsia"/>
          <w:lang w:val="en-US" w:eastAsia="zh-CN"/>
        </w:rPr>
        <w:t>1、</w:t>
      </w:r>
      <w:r>
        <w:rPr>
          <w:rFonts w:hint="eastAsia"/>
        </w:rPr>
        <w:t xml:space="preserve">签订合同并实际进场后，施工单位提交请款申请文件和发票，申请预付合同总价30%(不含暂列金、暂估价)的工程备料款； </w:t>
      </w:r>
    </w:p>
    <w:p w14:paraId="12C79B78">
      <w:pPr>
        <w:spacing w:line="360" w:lineRule="auto"/>
        <w:ind w:firstLine="420" w:firstLineChars="200"/>
      </w:pPr>
      <w:r>
        <w:rPr>
          <w:rFonts w:hint="eastAsia"/>
          <w:lang w:val="en-US" w:eastAsia="zh-CN"/>
        </w:rPr>
        <w:t>2、</w:t>
      </w:r>
      <w:r>
        <w:rPr>
          <w:rFonts w:hint="eastAsia"/>
        </w:rPr>
        <w:t>工程进度达到100%，递交完整的工程施工及验收资料，竣工验收合格，施工单位提交请款申请文件和发票，申请付款至合同内容总价的</w:t>
      </w:r>
      <w:r>
        <w:rPr>
          <w:rFonts w:hint="eastAsia"/>
          <w:lang w:val="en-US" w:eastAsia="zh-CN"/>
        </w:rPr>
        <w:t>100</w:t>
      </w:r>
      <w:r>
        <w:rPr>
          <w:rFonts w:hint="eastAsia"/>
        </w:rPr>
        <w:t>%(不含暂列金暂估价)；</w:t>
      </w:r>
    </w:p>
    <w:p w14:paraId="385044F5">
      <w:pPr>
        <w:spacing w:line="360" w:lineRule="auto"/>
        <w:ind w:firstLine="420" w:firstLineChars="200"/>
      </w:pPr>
      <w:r>
        <w:rPr>
          <w:rFonts w:hint="eastAsia"/>
          <w:lang w:val="en-US" w:eastAsia="zh-CN"/>
        </w:rPr>
        <w:t>3、</w:t>
      </w:r>
      <w:r>
        <w:rPr>
          <w:rFonts w:hint="eastAsia"/>
        </w:rPr>
        <w:t>每次支付工程款需凭税务发票</w:t>
      </w:r>
      <w:r>
        <w:rPr>
          <w:rFonts w:hint="eastAsia"/>
          <w:highlight w:val="none"/>
        </w:rPr>
        <w:t>支付</w:t>
      </w:r>
      <w:r>
        <w:rPr>
          <w:rFonts w:hint="eastAsia"/>
          <w:highlight w:val="none"/>
          <w:lang w:eastAsia="zh-CN"/>
        </w:rPr>
        <w:t>，</w:t>
      </w:r>
      <w:r>
        <w:rPr>
          <w:rFonts w:hint="eastAsia"/>
          <w:highlight w:val="none"/>
          <w:lang w:val="en-US" w:eastAsia="zh-CN"/>
        </w:rPr>
        <w:t>院方在收到发票之后30个工作日之内支付</w:t>
      </w:r>
      <w:r>
        <w:rPr>
          <w:rFonts w:hint="eastAsia"/>
          <w:highlight w:val="none"/>
        </w:rPr>
        <w:t>。</w:t>
      </w:r>
    </w:p>
    <w:p w14:paraId="7A724883">
      <w:pPr>
        <w:spacing w:line="360" w:lineRule="auto"/>
        <w:ind w:firstLine="420" w:firstLineChars="200"/>
      </w:pPr>
      <w:r>
        <w:rPr>
          <w:rFonts w:hint="eastAsia"/>
        </w:rPr>
        <w:t>注：对结算审减率超过5%（不含）的项目，所发生的审核费用由施工单位支付。</w:t>
      </w:r>
    </w:p>
    <w:p w14:paraId="0D54BDCF">
      <w:pPr>
        <w:spacing w:line="360" w:lineRule="auto"/>
        <w:ind w:firstLine="420" w:firstLineChars="200"/>
      </w:pPr>
    </w:p>
    <w:p w14:paraId="07025730">
      <w:pPr>
        <w:spacing w:line="360" w:lineRule="auto"/>
      </w:pPr>
      <w:r>
        <w:rPr>
          <w:rFonts w:hint="eastAsia"/>
          <w:lang w:val="en-US" w:eastAsia="zh-CN"/>
        </w:rPr>
        <w:t>（七）</w:t>
      </w:r>
      <w:r>
        <w:rPr>
          <w:rFonts w:hint="eastAsia" w:ascii="宋体"/>
          <w:color w:val="000000"/>
          <w:szCs w:val="21"/>
        </w:rPr>
        <w:t>售后服务：</w:t>
      </w:r>
    </w:p>
    <w:p w14:paraId="566D5AE2">
      <w:pPr>
        <w:spacing w:line="360" w:lineRule="auto"/>
        <w:ind w:firstLine="420" w:firstLineChars="200"/>
        <w:jc w:val="left"/>
      </w:pPr>
      <w:r>
        <w:rPr>
          <w:rFonts w:hint="eastAsia"/>
          <w:lang w:val="en-US" w:eastAsia="zh-CN"/>
        </w:rPr>
        <w:t>1、</w:t>
      </w:r>
      <w:r>
        <w:t>工程质量保修范围和内容</w:t>
      </w:r>
    </w:p>
    <w:p w14:paraId="6473916C">
      <w:pPr>
        <w:spacing w:line="360" w:lineRule="auto"/>
        <w:ind w:firstLine="420" w:firstLineChars="200"/>
        <w:jc w:val="left"/>
      </w:pPr>
      <w:r>
        <w:t>成交人在质量保修期内，按照有关法律规定和合同约定，承担工程质量保修责任。</w:t>
      </w:r>
    </w:p>
    <w:p w14:paraId="69CC4909">
      <w:pPr>
        <w:spacing w:line="360" w:lineRule="auto"/>
        <w:ind w:firstLine="420" w:firstLineChars="200"/>
        <w:jc w:val="left"/>
      </w:pPr>
      <w:r>
        <w:t>质量保修范围包括消防电气管线、消防给排水管道、火灾自动报警设备，以及双方约定的其他项目。具体保修的内容，双方约定如下：所有承包范围内的工程均属保修范围。</w:t>
      </w:r>
    </w:p>
    <w:p w14:paraId="05894EEC">
      <w:pPr>
        <w:spacing w:line="360" w:lineRule="auto"/>
        <w:ind w:firstLine="420" w:firstLineChars="200"/>
        <w:jc w:val="left"/>
      </w:pPr>
      <w:r>
        <w:rPr>
          <w:rFonts w:hint="eastAsia"/>
          <w:lang w:val="en-US" w:eastAsia="zh-CN"/>
        </w:rPr>
        <w:t>2、</w:t>
      </w:r>
      <w:r>
        <w:t>质量保修期</w:t>
      </w:r>
    </w:p>
    <w:p w14:paraId="25152F5D">
      <w:pPr>
        <w:spacing w:line="360" w:lineRule="auto"/>
        <w:ind w:firstLine="420" w:firstLineChars="200"/>
        <w:jc w:val="left"/>
      </w:pPr>
      <w:r>
        <w:t>根据《建设工程质量管理条例》及有关规定，工程的质量保修期为 2 年。</w:t>
      </w:r>
    </w:p>
    <w:p w14:paraId="5B69B470">
      <w:pPr>
        <w:spacing w:line="360" w:lineRule="auto"/>
        <w:ind w:firstLine="420" w:firstLineChars="200"/>
        <w:jc w:val="left"/>
      </w:pPr>
      <w:r>
        <w:rPr>
          <w:rFonts w:hint="eastAsia"/>
          <w:lang w:val="en-US" w:eastAsia="zh-CN"/>
        </w:rPr>
        <w:t>3、</w:t>
      </w:r>
      <w:r>
        <w:t>质量保修责任</w:t>
      </w:r>
    </w:p>
    <w:p w14:paraId="03380801">
      <w:pPr>
        <w:spacing w:line="360" w:lineRule="auto"/>
        <w:ind w:firstLine="420" w:firstLineChars="200"/>
        <w:jc w:val="left"/>
      </w:pPr>
      <w:r>
        <w:t>属于保修范围、内容的项目，成交人应当在接到保</w:t>
      </w:r>
      <w:r>
        <w:rPr>
          <w:highlight w:val="none"/>
        </w:rPr>
        <w:t>修通知之日起</w:t>
      </w:r>
      <w:r>
        <w:rPr>
          <w:rFonts w:hint="eastAsia"/>
          <w:highlight w:val="none"/>
          <w:lang w:val="en-US" w:eastAsia="zh-CN"/>
        </w:rPr>
        <w:t>24小时</w:t>
      </w:r>
      <w:r>
        <w:rPr>
          <w:highlight w:val="none"/>
        </w:rPr>
        <w:t>内派人保</w:t>
      </w:r>
      <w:r>
        <w:t>修。成交人不在约定期限内派人保修的，采购人可以委托他人修理。</w:t>
      </w:r>
    </w:p>
    <w:p w14:paraId="26D39F31">
      <w:pPr>
        <w:spacing w:line="360" w:lineRule="auto"/>
        <w:ind w:firstLine="420" w:firstLineChars="200"/>
        <w:jc w:val="left"/>
      </w:pPr>
      <w:r>
        <w:t>发生紧急事故需抢修的，成交人在接到事故通知后，应当立即到达事故现场抢修。</w:t>
      </w:r>
    </w:p>
    <w:p w14:paraId="4D95C8C7">
      <w:pPr>
        <w:spacing w:line="360" w:lineRule="auto"/>
        <w:ind w:firstLine="420" w:firstLineChars="200"/>
        <w:jc w:val="left"/>
      </w:pPr>
      <w:r>
        <w:rPr>
          <w:rFonts w:hint="eastAsia"/>
          <w:lang w:val="en-US" w:eastAsia="zh-CN"/>
        </w:rPr>
        <w:t>4、</w:t>
      </w:r>
      <w:r>
        <w:t>保修费用</w:t>
      </w:r>
    </w:p>
    <w:p w14:paraId="637CE917">
      <w:pPr>
        <w:spacing w:line="360" w:lineRule="auto"/>
        <w:ind w:firstLine="420" w:firstLineChars="200"/>
        <w:jc w:val="left"/>
      </w:pPr>
      <w:r>
        <w:t>保修费用由造成质量缺陷的责任方承担。</w:t>
      </w:r>
    </w:p>
    <w:p w14:paraId="7EF9F661">
      <w:pPr>
        <w:spacing w:line="360" w:lineRule="auto"/>
      </w:pPr>
    </w:p>
    <w:p w14:paraId="71FF2F5A">
      <w:pPr>
        <w:spacing w:line="360" w:lineRule="auto"/>
      </w:pPr>
      <w:r>
        <w:rPr>
          <w:rFonts w:hint="eastAsia"/>
          <w:lang w:eastAsia="zh-CN"/>
        </w:rPr>
        <w:t>（</w:t>
      </w:r>
      <w:r>
        <w:rPr>
          <w:rFonts w:hint="eastAsia"/>
          <w:lang w:val="en-US" w:eastAsia="zh-CN"/>
        </w:rPr>
        <w:t>八</w:t>
      </w:r>
      <w:r>
        <w:rPr>
          <w:rFonts w:hint="eastAsia"/>
          <w:lang w:eastAsia="zh-CN"/>
        </w:rPr>
        <w:t>）</w:t>
      </w:r>
      <w:r>
        <w:rPr>
          <w:rFonts w:hint="eastAsia"/>
        </w:rPr>
        <w:t>其他要求：</w:t>
      </w:r>
    </w:p>
    <w:p w14:paraId="65C87A04">
      <w:pPr>
        <w:spacing w:line="360" w:lineRule="auto"/>
        <w:ind w:firstLine="420" w:firstLineChars="200"/>
      </w:pPr>
      <w:r>
        <w:rPr>
          <w:rFonts w:hint="eastAsia"/>
        </w:rPr>
        <w:t>供应商严格遵守《医院外来施工</w:t>
      </w:r>
      <w:r>
        <w:rPr>
          <w:rFonts w:hint="eastAsia"/>
          <w:lang w:eastAsia="zh-CN"/>
        </w:rPr>
        <w:t>、</w:t>
      </w:r>
      <w:r>
        <w:rPr>
          <w:rFonts w:hint="eastAsia"/>
          <w:lang w:val="en-US" w:eastAsia="zh-CN"/>
        </w:rPr>
        <w:t>维修（护）</w:t>
      </w:r>
      <w:r>
        <w:rPr>
          <w:rFonts w:hint="eastAsia"/>
        </w:rPr>
        <w:t>管理</w:t>
      </w:r>
      <w:r>
        <w:rPr>
          <w:rFonts w:hint="eastAsia"/>
          <w:lang w:val="en-US" w:eastAsia="zh-CN"/>
        </w:rPr>
        <w:t>规定</w:t>
      </w:r>
      <w:r>
        <w:rPr>
          <w:rFonts w:hint="eastAsia"/>
        </w:rPr>
        <w:t>》规定。</w:t>
      </w:r>
    </w:p>
    <w:p w14:paraId="29716147">
      <w:pPr>
        <w:numPr>
          <w:ilvl w:val="0"/>
          <w:numId w:val="0"/>
        </w:numPr>
        <w:rPr>
          <w:rFonts w:hint="eastAsia"/>
          <w:sz w:val="24"/>
          <w:szCs w:val="24"/>
          <w:lang w:val="en-US" w:eastAsia="zh-CN"/>
        </w:rPr>
      </w:pPr>
    </w:p>
    <w:p w14:paraId="07627D36">
      <w:pPr>
        <w:numPr>
          <w:ilvl w:val="0"/>
          <w:numId w:val="0"/>
        </w:numPr>
        <w:ind w:left="420" w:leftChars="0"/>
        <w:rPr>
          <w:rFonts w:hint="eastAsia"/>
          <w:sz w:val="24"/>
          <w:szCs w:val="24"/>
          <w:lang w:val="en-US" w:eastAsia="zh-CN"/>
        </w:rPr>
      </w:pPr>
    </w:p>
    <w:p w14:paraId="4A735593">
      <w:pPr>
        <w:numPr>
          <w:ilvl w:val="0"/>
          <w:numId w:val="0"/>
        </w:numPr>
        <w:ind w:left="420" w:leftChars="0"/>
        <w:rPr>
          <w:rFonts w:hint="eastAsia"/>
          <w:b/>
          <w:bCs/>
          <w:sz w:val="24"/>
          <w:szCs w:val="24"/>
          <w:lang w:val="en-US" w:eastAsia="zh-CN"/>
        </w:rPr>
      </w:pPr>
    </w:p>
    <w:p w14:paraId="35154009">
      <w:pPr>
        <w:numPr>
          <w:ilvl w:val="0"/>
          <w:numId w:val="0"/>
        </w:numPr>
        <w:rPr>
          <w:rFonts w:hint="eastAsia"/>
          <w:sz w:val="24"/>
          <w:szCs w:val="24"/>
          <w:lang w:val="en-US" w:eastAsia="zh-CN"/>
        </w:rPr>
      </w:pPr>
    </w:p>
    <w:p w14:paraId="484DD5F8">
      <w:pPr>
        <w:numPr>
          <w:ilvl w:val="0"/>
          <w:numId w:val="0"/>
        </w:numPr>
        <w:ind w:left="420" w:leftChars="0"/>
        <w:rPr>
          <w:rFonts w:hint="eastAsia"/>
          <w:sz w:val="24"/>
          <w:szCs w:val="24"/>
          <w:lang w:val="en-US" w:eastAsia="zh-CN"/>
        </w:rPr>
      </w:pPr>
    </w:p>
    <w:p w14:paraId="6A7751F9">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Mjc0NWZhMDBiYWQxMzQ0MGM0M2JjNDdhY2VjOGMifQ=="/>
  </w:docVars>
  <w:rsids>
    <w:rsidRoot w:val="00000000"/>
    <w:rsid w:val="01FA6A1F"/>
    <w:rsid w:val="190D7CA9"/>
    <w:rsid w:val="2CE118AF"/>
    <w:rsid w:val="388C012A"/>
    <w:rsid w:val="399B34CA"/>
    <w:rsid w:val="3A345F6B"/>
    <w:rsid w:val="3A511421"/>
    <w:rsid w:val="45473E04"/>
    <w:rsid w:val="51554470"/>
    <w:rsid w:val="526E02AD"/>
    <w:rsid w:val="52F04E3C"/>
    <w:rsid w:val="574B2335"/>
    <w:rsid w:val="5E0272E6"/>
    <w:rsid w:val="62995368"/>
    <w:rsid w:val="6894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Theme="minorHAnsi" w:hAnsiTheme="minorHAnsi" w:eastAsiaTheme="minorEastAsia" w:cstheme="minorBidi"/>
      <w:lang w:val="en-US" w:eastAsia="zh-Hans"/>
    </w:rPr>
  </w:style>
  <w:style w:type="paragraph" w:customStyle="1" w:styleId="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2492</Words>
  <Characters>2606</Characters>
  <Lines>0</Lines>
  <Paragraphs>0</Paragraphs>
  <TotalTime>4</TotalTime>
  <ScaleCrop>false</ScaleCrop>
  <LinksUpToDate>false</LinksUpToDate>
  <CharactersWithSpaces>2618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2024-06-06T06:50:00Z</dcterms:created>
  <dc:creator>DELL</dc:creator>
  <cp:lastModifiedBy>ZBB</cp:lastModifiedBy>
  <dcterms:modified xsi:type="dcterms:W3CDTF">2025-07-10T01:38:29Z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BDC5368D3C364C2FB693CD085A462530_13</vt:lpwstr>
  </property>
  <property fmtid="{D5CDD505-2E9C-101B-9397-08002B2CF9AE}" pid="4" name="KSOTemplateDocerSaveRecord">
    <vt:lpwstr>eyJoZGlkIjoiNmJjN2ZjNGQ2ODA4YWQ2ODZlNGQwYThkOTdlNWFkODMiLCJ1c2VySWQiOiIzMjIyNjg0NzYifQ==</vt:lpwstr>
  </property>
</Properties>
</file>