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286B5">
      <w:pPr>
        <w:pStyle w:val="23"/>
        <w:spacing w:line="440" w:lineRule="exact"/>
        <w:ind w:firstLine="0"/>
        <w:jc w:val="center"/>
        <w:outlineLvl w:val="0"/>
        <w:rPr>
          <w:rFonts w:hint="eastAsia" w:ascii="方正仿宋_GB2312" w:hAnsi="方正仿宋_GB2312" w:eastAsia="方正仿宋_GB2312" w:cs="方正仿宋_GB2312"/>
          <w:sz w:val="40"/>
          <w:szCs w:val="40"/>
          <w:highlight w:val="none"/>
        </w:rPr>
      </w:pPr>
    </w:p>
    <w:p w14:paraId="5CDFCA31">
      <w:pPr>
        <w:pStyle w:val="23"/>
        <w:spacing w:line="440" w:lineRule="exact"/>
        <w:ind w:firstLine="0"/>
        <w:jc w:val="center"/>
        <w:outlineLvl w:val="0"/>
        <w:rPr>
          <w:rFonts w:hint="eastAsia" w:ascii="方正仿宋_GB2312" w:hAnsi="方正仿宋_GB2312" w:eastAsia="方正仿宋_GB2312" w:cs="方正仿宋_GB2312"/>
          <w:b/>
          <w:bCs/>
          <w:sz w:val="40"/>
          <w:szCs w:val="40"/>
          <w:highlight w:val="none"/>
          <w:lang w:val="en-US" w:eastAsia="zh-CN"/>
        </w:rPr>
      </w:pPr>
      <w:r>
        <w:rPr>
          <w:rFonts w:hint="eastAsia" w:ascii="方正仿宋_GB2312" w:hAnsi="方正仿宋_GB2312" w:eastAsia="方正仿宋_GB2312" w:cs="方正仿宋_GB2312"/>
          <w:b/>
          <w:bCs/>
          <w:sz w:val="40"/>
          <w:szCs w:val="40"/>
          <w:highlight w:val="none"/>
          <w:lang w:eastAsia="zh-CN"/>
        </w:rPr>
        <w:t>南方医科大学</w:t>
      </w:r>
      <w:r>
        <w:rPr>
          <w:rFonts w:hint="eastAsia" w:ascii="方正仿宋_GB2312" w:hAnsi="方正仿宋_GB2312" w:eastAsia="方正仿宋_GB2312" w:cs="方正仿宋_GB2312"/>
          <w:b/>
          <w:bCs/>
          <w:sz w:val="40"/>
          <w:szCs w:val="40"/>
          <w:highlight w:val="none"/>
          <w:lang w:val="en-US" w:eastAsia="zh-CN"/>
        </w:rPr>
        <w:t>中西医结合医院</w:t>
      </w:r>
    </w:p>
    <w:p w14:paraId="5A1F437B">
      <w:pPr>
        <w:pStyle w:val="23"/>
        <w:spacing w:line="440" w:lineRule="exact"/>
        <w:ind w:firstLine="0"/>
        <w:jc w:val="center"/>
        <w:outlineLvl w:val="0"/>
        <w:rPr>
          <w:rFonts w:hint="eastAsia" w:ascii="仿宋_GB2312" w:hAnsi="仿宋_GB2312" w:eastAsia="仿宋_GB2312"/>
          <w:b/>
          <w:bCs/>
          <w:sz w:val="28"/>
          <w:szCs w:val="28"/>
          <w:highlight w:val="none"/>
        </w:rPr>
      </w:pPr>
      <w:r>
        <w:rPr>
          <w:rFonts w:hint="eastAsia" w:ascii="方正仿宋_GB2312" w:hAnsi="方正仿宋_GB2312" w:eastAsia="方正仿宋_GB2312" w:cs="方正仿宋_GB2312"/>
          <w:b/>
          <w:bCs/>
          <w:sz w:val="40"/>
          <w:szCs w:val="40"/>
          <w:highlight w:val="none"/>
          <w:lang w:val="en-US" w:eastAsia="zh-CN"/>
        </w:rPr>
        <w:t>工伤联网结算接口改造项目</w:t>
      </w:r>
      <w:bookmarkStart w:id="0" w:name="_GoBack"/>
      <w:bookmarkEnd w:id="0"/>
      <w:r>
        <w:rPr>
          <w:rFonts w:hint="eastAsia" w:ascii="方正仿宋_GB2312" w:hAnsi="方正仿宋_GB2312" w:eastAsia="方正仿宋_GB2312" w:cs="方正仿宋_GB2312"/>
          <w:b/>
          <w:bCs/>
          <w:sz w:val="40"/>
          <w:szCs w:val="40"/>
          <w:highlight w:val="none"/>
          <w:lang w:val="en-US" w:eastAsia="zh-CN"/>
        </w:rPr>
        <w:br w:type="page"/>
      </w:r>
    </w:p>
    <w:p w14:paraId="44371929">
      <w:pPr>
        <w:pStyle w:val="23"/>
        <w:numPr>
          <w:ilvl w:val="0"/>
          <w:numId w:val="1"/>
        </w:numPr>
        <w:spacing w:after="156" w:afterLines="50" w:line="440" w:lineRule="exact"/>
        <w:jc w:val="center"/>
        <w:outlineLvl w:val="1"/>
        <w:rPr>
          <w:rFonts w:hint="eastAsia" w:ascii="仿宋_GB2312" w:hAnsi="仿宋_GB2312" w:eastAsia="仿宋_GB2312"/>
          <w:b/>
          <w:bCs/>
          <w:sz w:val="28"/>
          <w:szCs w:val="28"/>
          <w:highlight w:val="none"/>
        </w:rPr>
      </w:pPr>
      <w:r>
        <w:rPr>
          <w:rFonts w:hint="eastAsia" w:ascii="仿宋_GB2312" w:hAnsi="仿宋_GB2312" w:eastAsia="仿宋_GB2312"/>
          <w:b/>
          <w:bCs/>
          <w:sz w:val="28"/>
          <w:szCs w:val="28"/>
          <w:highlight w:val="none"/>
        </w:rPr>
        <w:t>用户需求</w:t>
      </w:r>
    </w:p>
    <w:p w14:paraId="5F90B306">
      <w:pPr>
        <w:pStyle w:val="23"/>
        <w:spacing w:line="440" w:lineRule="exact"/>
        <w:ind w:left="0" w:firstLine="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有关说明：投标人响应参数需求应具体、明确，含糊不清、不确切或伪造、变造证明材料的，构成提供虚假材料的，将承担相关责任。</w:t>
      </w:r>
    </w:p>
    <w:p w14:paraId="11A644C9">
      <w:pPr>
        <w:pStyle w:val="23"/>
        <w:spacing w:line="440" w:lineRule="exact"/>
        <w:ind w:left="561" w:firstLine="0"/>
        <w:rPr>
          <w:rFonts w:hint="eastAsia" w:ascii="宋体" w:hAnsi="宋体" w:eastAsia="宋体" w:cs="宋体"/>
          <w:sz w:val="24"/>
          <w:szCs w:val="24"/>
          <w:highlight w:val="none"/>
        </w:rPr>
      </w:pPr>
    </w:p>
    <w:p w14:paraId="464F85CE">
      <w:pPr>
        <w:pStyle w:val="10"/>
        <w:numPr>
          <w:ilvl w:val="0"/>
          <w:numId w:val="2"/>
        </w:numPr>
        <w:tabs>
          <w:tab w:val="left" w:pos="540"/>
        </w:tabs>
        <w:adjustRightInd w:val="0"/>
        <w:snapToGrid w:val="0"/>
        <w:spacing w:line="44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项目一览表</w:t>
      </w:r>
    </w:p>
    <w:tbl>
      <w:tblPr>
        <w:tblStyle w:val="17"/>
        <w:tblW w:w="7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3310"/>
        <w:gridCol w:w="709"/>
        <w:gridCol w:w="1227"/>
        <w:gridCol w:w="1672"/>
      </w:tblGrid>
      <w:tr w14:paraId="51EB3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9" w:type="dxa"/>
            <w:vAlign w:val="center"/>
          </w:tcPr>
          <w:p w14:paraId="24023C60">
            <w:pPr>
              <w:spacing w:line="44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3310" w:type="dxa"/>
            <w:vAlign w:val="center"/>
          </w:tcPr>
          <w:p w14:paraId="047A4CF1">
            <w:pPr>
              <w:spacing w:line="44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采购内容</w:t>
            </w:r>
          </w:p>
        </w:tc>
        <w:tc>
          <w:tcPr>
            <w:tcW w:w="709" w:type="dxa"/>
            <w:vAlign w:val="center"/>
          </w:tcPr>
          <w:p w14:paraId="065DFC2C">
            <w:pPr>
              <w:widowControl/>
              <w:spacing w:line="440" w:lineRule="exact"/>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kern w:val="0"/>
                <w:sz w:val="24"/>
                <w:szCs w:val="24"/>
                <w:highlight w:val="none"/>
              </w:rPr>
              <w:t>数量</w:t>
            </w:r>
          </w:p>
        </w:tc>
        <w:tc>
          <w:tcPr>
            <w:tcW w:w="1227" w:type="dxa"/>
            <w:vAlign w:val="center"/>
          </w:tcPr>
          <w:p w14:paraId="731815E6">
            <w:pPr>
              <w:widowControl/>
              <w:spacing w:line="440" w:lineRule="exact"/>
              <w:jc w:val="center"/>
              <w:rPr>
                <w:rFonts w:hint="eastAsia" w:ascii="宋体" w:hAnsi="宋体" w:eastAsia="宋体" w:cs="宋体"/>
                <w:b/>
                <w:color w:val="000000"/>
                <w:sz w:val="24"/>
                <w:szCs w:val="24"/>
                <w:highlight w:val="none"/>
              </w:rPr>
            </w:pPr>
            <w:r>
              <w:rPr>
                <w:rFonts w:hint="eastAsia" w:ascii="宋体" w:hAnsi="宋体" w:eastAsia="宋体" w:cs="宋体"/>
                <w:b/>
                <w:bCs/>
                <w:kern w:val="0"/>
                <w:sz w:val="24"/>
                <w:szCs w:val="24"/>
                <w:highlight w:val="none"/>
              </w:rPr>
              <w:t>单位</w:t>
            </w:r>
          </w:p>
        </w:tc>
        <w:tc>
          <w:tcPr>
            <w:tcW w:w="1672" w:type="dxa"/>
            <w:vAlign w:val="center"/>
          </w:tcPr>
          <w:p w14:paraId="39165F08">
            <w:pPr>
              <w:widowControl/>
              <w:spacing w:line="440" w:lineRule="exact"/>
              <w:jc w:val="center"/>
              <w:rPr>
                <w:rFonts w:hint="eastAsia" w:ascii="宋体" w:hAnsi="宋体" w:eastAsia="宋体" w:cs="宋体"/>
                <w:b/>
                <w:color w:val="000000"/>
                <w:sz w:val="24"/>
                <w:szCs w:val="24"/>
                <w:highlight w:val="none"/>
              </w:rPr>
            </w:pPr>
            <w:r>
              <w:rPr>
                <w:rFonts w:hint="eastAsia" w:ascii="宋体" w:hAnsi="宋体" w:eastAsia="宋体" w:cs="宋体"/>
                <w:b/>
                <w:bCs/>
                <w:kern w:val="0"/>
                <w:sz w:val="24"/>
                <w:szCs w:val="24"/>
                <w:highlight w:val="none"/>
              </w:rPr>
              <w:t>最高限价（元）</w:t>
            </w:r>
          </w:p>
        </w:tc>
      </w:tr>
      <w:tr w14:paraId="5016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9" w:type="dxa"/>
            <w:vAlign w:val="center"/>
          </w:tcPr>
          <w:p w14:paraId="365BE56C">
            <w:pPr>
              <w:widowControl/>
              <w:numPr>
                <w:ilvl w:val="0"/>
                <w:numId w:val="3"/>
              </w:numPr>
              <w:spacing w:line="440" w:lineRule="exact"/>
              <w:ind w:left="425" w:hanging="425"/>
              <w:jc w:val="center"/>
              <w:textAlignment w:val="center"/>
              <w:rPr>
                <w:rFonts w:hint="eastAsia" w:ascii="宋体" w:hAnsi="宋体" w:eastAsia="宋体" w:cs="宋体"/>
                <w:color w:val="000000"/>
                <w:sz w:val="24"/>
                <w:szCs w:val="24"/>
                <w:highlight w:val="none"/>
              </w:rPr>
            </w:pPr>
          </w:p>
        </w:tc>
        <w:tc>
          <w:tcPr>
            <w:tcW w:w="3310" w:type="dxa"/>
            <w:vAlign w:val="center"/>
          </w:tcPr>
          <w:p w14:paraId="37C5FDF1">
            <w:pPr>
              <w:widowControl/>
              <w:spacing w:line="440" w:lineRule="exact"/>
              <w:jc w:val="both"/>
              <w:textAlignment w:val="center"/>
              <w:rPr>
                <w:rFonts w:hint="eastAsia" w:ascii="宋体" w:hAnsi="宋体" w:eastAsia="宋体" w:cs="宋体"/>
                <w:color w:val="000000"/>
                <w:sz w:val="24"/>
                <w:szCs w:val="24"/>
                <w:highlight w:val="none"/>
              </w:rPr>
            </w:pPr>
            <w:r>
              <w:rPr>
                <w:rFonts w:hint="eastAsia" w:ascii="宋体" w:hAnsi="宋体" w:cs="宋体"/>
                <w:b/>
                <w:color w:val="000000"/>
                <w:sz w:val="24"/>
                <w:szCs w:val="24"/>
                <w:highlight w:val="none"/>
                <w:u w:val="single"/>
                <w:lang w:eastAsia="zh-CN"/>
              </w:rPr>
              <w:t>工伤联网结算</w:t>
            </w:r>
            <w:r>
              <w:rPr>
                <w:rFonts w:hint="eastAsia" w:ascii="宋体" w:hAnsi="宋体" w:cs="宋体"/>
                <w:b/>
                <w:color w:val="000000"/>
                <w:sz w:val="24"/>
                <w:szCs w:val="24"/>
                <w:highlight w:val="none"/>
                <w:u w:val="single"/>
                <w:lang w:eastAsia="zh-CN"/>
              </w:rPr>
              <w:t>接口改造</w:t>
            </w:r>
          </w:p>
        </w:tc>
        <w:tc>
          <w:tcPr>
            <w:tcW w:w="709" w:type="dxa"/>
            <w:vAlign w:val="center"/>
          </w:tcPr>
          <w:p w14:paraId="30C0595C">
            <w:pPr>
              <w:widowControl/>
              <w:spacing w:line="440" w:lineRule="exact"/>
              <w:jc w:val="center"/>
              <w:textAlignment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p>
        </w:tc>
        <w:tc>
          <w:tcPr>
            <w:tcW w:w="1227" w:type="dxa"/>
            <w:vAlign w:val="center"/>
          </w:tcPr>
          <w:p w14:paraId="07263773">
            <w:pPr>
              <w:widowControl/>
              <w:spacing w:line="440" w:lineRule="exact"/>
              <w:jc w:val="center"/>
              <w:textAlignment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项</w:t>
            </w:r>
          </w:p>
        </w:tc>
        <w:tc>
          <w:tcPr>
            <w:tcW w:w="1672" w:type="dxa"/>
            <w:vAlign w:val="center"/>
          </w:tcPr>
          <w:p w14:paraId="3FF44DA4">
            <w:pPr>
              <w:widowControl/>
              <w:spacing w:line="440" w:lineRule="exact"/>
              <w:jc w:val="center"/>
              <w:textAlignment w:val="center"/>
              <w:rPr>
                <w:rFonts w:hint="eastAsia" w:ascii="宋体" w:hAnsi="宋体" w:eastAsia="宋体" w:cs="宋体"/>
                <w:color w:val="000000"/>
                <w:sz w:val="24"/>
                <w:szCs w:val="24"/>
                <w:highlight w:val="none"/>
              </w:rPr>
            </w:pPr>
          </w:p>
        </w:tc>
      </w:tr>
    </w:tbl>
    <w:p w14:paraId="4C98F5E7">
      <w:pPr>
        <w:pStyle w:val="10"/>
        <w:tabs>
          <w:tab w:val="left" w:pos="540"/>
        </w:tabs>
        <w:adjustRightInd w:val="0"/>
        <w:snapToGrid w:val="0"/>
        <w:spacing w:line="440" w:lineRule="exact"/>
        <w:rPr>
          <w:rFonts w:hint="eastAsia" w:ascii="宋体" w:hAnsi="宋体" w:eastAsia="宋体" w:cs="宋体"/>
          <w:b/>
          <w:bCs/>
          <w:sz w:val="24"/>
          <w:szCs w:val="24"/>
          <w:highlight w:val="none"/>
        </w:rPr>
      </w:pPr>
    </w:p>
    <w:p w14:paraId="11B26AEF">
      <w:pPr>
        <w:pStyle w:val="10"/>
        <w:numPr>
          <w:ilvl w:val="0"/>
          <w:numId w:val="2"/>
        </w:numPr>
        <w:tabs>
          <w:tab w:val="left" w:pos="540"/>
        </w:tabs>
        <w:adjustRightInd w:val="0"/>
        <w:snapToGrid w:val="0"/>
        <w:spacing w:line="44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采购清单</w:t>
      </w:r>
    </w:p>
    <w:tbl>
      <w:tblPr>
        <w:tblStyle w:val="17"/>
        <w:tblW w:w="7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6"/>
        <w:gridCol w:w="3944"/>
        <w:gridCol w:w="863"/>
        <w:gridCol w:w="897"/>
      </w:tblGrid>
      <w:tr w14:paraId="22266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6" w:type="dxa"/>
            <w:tcBorders>
              <w:tl2br w:val="nil"/>
              <w:tr2bl w:val="nil"/>
            </w:tcBorders>
            <w:shd w:val="clear" w:color="000000" w:fill="FFFFFF" w:themeFill="background1"/>
            <w:vAlign w:val="center"/>
          </w:tcPr>
          <w:p w14:paraId="185F71AB">
            <w:pPr>
              <w:widowControl/>
              <w:spacing w:line="440" w:lineRule="exact"/>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3944" w:type="dxa"/>
            <w:tcBorders>
              <w:tl2br w:val="nil"/>
              <w:tr2bl w:val="nil"/>
            </w:tcBorders>
            <w:shd w:val="clear" w:color="000000" w:fill="FFFFFF" w:themeFill="background1"/>
            <w:vAlign w:val="center"/>
          </w:tcPr>
          <w:p w14:paraId="7B424C8A">
            <w:pPr>
              <w:widowControl/>
              <w:spacing w:line="440" w:lineRule="exact"/>
              <w:jc w:val="center"/>
              <w:rPr>
                <w:rFonts w:hint="default" w:ascii="宋体" w:hAnsi="宋体" w:eastAsia="宋体" w:cs="宋体"/>
                <w:b/>
                <w:bCs/>
                <w:kern w:val="0"/>
                <w:sz w:val="24"/>
                <w:szCs w:val="24"/>
                <w:highlight w:val="none"/>
                <w:lang w:val="en-US"/>
              </w:rPr>
            </w:pPr>
            <w:r>
              <w:rPr>
                <w:rFonts w:hint="eastAsia" w:ascii="宋体" w:hAnsi="宋体" w:cs="宋体"/>
                <w:b/>
                <w:bCs/>
                <w:kern w:val="0"/>
                <w:sz w:val="24"/>
                <w:szCs w:val="24"/>
                <w:highlight w:val="none"/>
                <w:lang w:val="en-US" w:eastAsia="zh-CN"/>
              </w:rPr>
              <w:t>改造内容</w:t>
            </w:r>
          </w:p>
        </w:tc>
        <w:tc>
          <w:tcPr>
            <w:tcW w:w="863" w:type="dxa"/>
            <w:tcBorders>
              <w:tl2br w:val="nil"/>
              <w:tr2bl w:val="nil"/>
            </w:tcBorders>
            <w:shd w:val="clear" w:color="000000" w:fill="FFFFFF" w:themeFill="background1"/>
            <w:vAlign w:val="center"/>
          </w:tcPr>
          <w:p w14:paraId="285BF3A0">
            <w:pPr>
              <w:widowControl/>
              <w:spacing w:line="440" w:lineRule="exact"/>
              <w:jc w:val="center"/>
              <w:rPr>
                <w:rFonts w:hint="eastAsia" w:ascii="宋体" w:hAnsi="宋体" w:eastAsia="宋体" w:cs="宋体"/>
                <w:b/>
                <w:bCs/>
                <w:kern w:val="0"/>
                <w:sz w:val="24"/>
                <w:szCs w:val="24"/>
                <w:highlight w:val="none"/>
                <w:lang w:val="en-US" w:eastAsia="zh-CN"/>
              </w:rPr>
            </w:pPr>
            <w:r>
              <w:rPr>
                <w:rFonts w:hint="eastAsia" w:ascii="宋体" w:hAnsi="宋体" w:cs="宋体"/>
                <w:sz w:val="24"/>
                <w:szCs w:val="24"/>
                <w:highlight w:val="none"/>
                <w:lang w:val="en-US" w:eastAsia="zh-CN"/>
              </w:rPr>
              <w:t>数量</w:t>
            </w:r>
          </w:p>
        </w:tc>
        <w:tc>
          <w:tcPr>
            <w:tcW w:w="897" w:type="dxa"/>
            <w:tcBorders>
              <w:tl2br w:val="nil"/>
              <w:tr2bl w:val="nil"/>
            </w:tcBorders>
            <w:shd w:val="clear" w:color="000000" w:fill="FFFFFF" w:themeFill="background1"/>
            <w:vAlign w:val="center"/>
          </w:tcPr>
          <w:p w14:paraId="24F7AACA">
            <w:pPr>
              <w:widowControl/>
              <w:spacing w:line="440" w:lineRule="exact"/>
              <w:jc w:val="center"/>
              <w:rPr>
                <w:rFonts w:hint="eastAsia" w:ascii="宋体" w:hAnsi="宋体" w:eastAsia="宋体" w:cs="宋体"/>
                <w:b/>
                <w:bCs/>
                <w:kern w:val="0"/>
                <w:sz w:val="24"/>
                <w:szCs w:val="24"/>
                <w:highlight w:val="none"/>
                <w:lang w:eastAsia="zh-CN"/>
              </w:rPr>
            </w:pPr>
            <w:r>
              <w:rPr>
                <w:rFonts w:hint="eastAsia" w:ascii="宋体" w:hAnsi="宋体" w:cs="宋体"/>
                <w:b/>
                <w:bCs/>
                <w:kern w:val="0"/>
                <w:sz w:val="24"/>
                <w:szCs w:val="24"/>
                <w:highlight w:val="none"/>
                <w:lang w:val="en-US" w:eastAsia="zh-CN"/>
              </w:rPr>
              <w:t>单位</w:t>
            </w:r>
          </w:p>
        </w:tc>
      </w:tr>
      <w:tr w14:paraId="1841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6" w:type="dxa"/>
            <w:tcBorders>
              <w:tl2br w:val="nil"/>
              <w:tr2bl w:val="nil"/>
            </w:tcBorders>
            <w:shd w:val="clear" w:color="auto" w:fill="auto"/>
            <w:vAlign w:val="center"/>
          </w:tcPr>
          <w:p w14:paraId="4ABD5F63">
            <w:pPr>
              <w:pStyle w:val="24"/>
              <w:numPr>
                <w:ilvl w:val="0"/>
                <w:numId w:val="4"/>
              </w:numPr>
              <w:spacing w:line="440" w:lineRule="exact"/>
              <w:ind w:firstLineChars="0"/>
              <w:jc w:val="center"/>
              <w:rPr>
                <w:rFonts w:hint="eastAsia" w:ascii="宋体" w:hAnsi="宋体" w:eastAsia="宋体" w:cs="宋体"/>
                <w:sz w:val="24"/>
                <w:szCs w:val="24"/>
                <w:highlight w:val="none"/>
              </w:rPr>
            </w:pPr>
          </w:p>
        </w:tc>
        <w:tc>
          <w:tcPr>
            <w:tcW w:w="3944" w:type="dxa"/>
            <w:tcBorders>
              <w:tl2br w:val="nil"/>
              <w:tr2bl w:val="nil"/>
            </w:tcBorders>
            <w:shd w:val="clear" w:color="auto" w:fill="auto"/>
            <w:vAlign w:val="center"/>
          </w:tcPr>
          <w:p w14:paraId="78CA4F0C">
            <w:pPr>
              <w:spacing w:line="360" w:lineRule="auto"/>
              <w:jc w:val="left"/>
              <w:rPr>
                <w:rFonts w:hint="eastAsia" w:ascii="宋体" w:hAnsi="宋体" w:eastAsia="宋体" w:cs="宋体"/>
                <w:sz w:val="24"/>
                <w:szCs w:val="24"/>
                <w:highlight w:val="none"/>
              </w:rPr>
            </w:pPr>
            <w:r>
              <w:rPr>
                <w:rFonts w:hint="eastAsia" w:ascii="宋体" w:hAnsi="宋体"/>
                <w:sz w:val="24"/>
                <w:szCs w:val="24"/>
                <w:highlight w:val="none"/>
              </w:rPr>
              <w:t>HIS功能改造</w:t>
            </w:r>
          </w:p>
        </w:tc>
        <w:tc>
          <w:tcPr>
            <w:tcW w:w="863" w:type="dxa"/>
            <w:tcBorders>
              <w:tl2br w:val="nil"/>
              <w:tr2bl w:val="nil"/>
            </w:tcBorders>
            <w:shd w:val="clear" w:color="auto" w:fill="auto"/>
            <w:vAlign w:val="center"/>
          </w:tcPr>
          <w:p w14:paraId="63BC7AA6">
            <w:pPr>
              <w:spacing w:line="44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897" w:type="dxa"/>
            <w:tcBorders>
              <w:tl2br w:val="nil"/>
              <w:tr2bl w:val="nil"/>
            </w:tcBorders>
            <w:shd w:val="clear" w:color="auto" w:fill="auto"/>
            <w:vAlign w:val="center"/>
          </w:tcPr>
          <w:p w14:paraId="53BD966F">
            <w:pPr>
              <w:widowControl/>
              <w:spacing w:line="440" w:lineRule="exact"/>
              <w:jc w:val="center"/>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套</w:t>
            </w:r>
          </w:p>
        </w:tc>
      </w:tr>
      <w:tr w14:paraId="700D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6" w:type="dxa"/>
            <w:tcBorders>
              <w:tl2br w:val="nil"/>
              <w:tr2bl w:val="nil"/>
            </w:tcBorders>
            <w:shd w:val="clear" w:color="auto" w:fill="auto"/>
            <w:vAlign w:val="center"/>
          </w:tcPr>
          <w:p w14:paraId="63AFB541">
            <w:pPr>
              <w:pStyle w:val="24"/>
              <w:numPr>
                <w:ilvl w:val="0"/>
                <w:numId w:val="4"/>
              </w:numPr>
              <w:spacing w:line="440" w:lineRule="exact"/>
              <w:ind w:firstLineChars="0"/>
              <w:jc w:val="center"/>
              <w:rPr>
                <w:rStyle w:val="20"/>
                <w:rFonts w:hint="eastAsia" w:ascii="宋体" w:hAnsi="宋体" w:eastAsia="宋体" w:cs="宋体"/>
                <w:color w:val="333333"/>
                <w:kern w:val="2"/>
                <w:sz w:val="14"/>
                <w:szCs w:val="14"/>
                <w:lang w:val="en-US" w:eastAsia="zh-CN" w:bidi="ar-SA"/>
              </w:rPr>
            </w:pPr>
          </w:p>
        </w:tc>
        <w:tc>
          <w:tcPr>
            <w:tcW w:w="3944" w:type="dxa"/>
            <w:tcBorders>
              <w:tl2br w:val="nil"/>
              <w:tr2bl w:val="nil"/>
            </w:tcBorders>
            <w:shd w:val="clear" w:color="auto" w:fill="auto"/>
            <w:vAlign w:val="center"/>
          </w:tcPr>
          <w:p w14:paraId="493C1CD0">
            <w:pPr>
              <w:spacing w:line="360" w:lineRule="auto"/>
              <w:jc w:val="left"/>
              <w:rPr>
                <w:rStyle w:val="20"/>
                <w:rFonts w:hint="eastAsia" w:ascii="宋体" w:hAnsi="宋体" w:eastAsia="宋体" w:cs="宋体"/>
                <w:color w:val="333333"/>
                <w:kern w:val="2"/>
                <w:sz w:val="14"/>
                <w:szCs w:val="14"/>
                <w:lang w:val="en-US" w:eastAsia="zh-CN" w:bidi="ar-SA"/>
              </w:rPr>
            </w:pPr>
            <w:r>
              <w:rPr>
                <w:rFonts w:hint="eastAsia" w:ascii="宋体" w:hAnsi="宋体"/>
                <w:sz w:val="24"/>
                <w:szCs w:val="24"/>
                <w:highlight w:val="none"/>
                <w:lang w:val="en-US" w:eastAsia="zh-CN"/>
              </w:rPr>
              <w:t>医院工伤保险实时交易改造</w:t>
            </w:r>
          </w:p>
        </w:tc>
        <w:tc>
          <w:tcPr>
            <w:tcW w:w="863" w:type="dxa"/>
            <w:tcBorders>
              <w:tl2br w:val="nil"/>
              <w:tr2bl w:val="nil"/>
            </w:tcBorders>
            <w:shd w:val="clear" w:color="auto" w:fill="auto"/>
            <w:vAlign w:val="center"/>
          </w:tcPr>
          <w:p w14:paraId="1461331E">
            <w:pPr>
              <w:spacing w:line="440" w:lineRule="exact"/>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p>
        </w:tc>
        <w:tc>
          <w:tcPr>
            <w:tcW w:w="897" w:type="dxa"/>
            <w:tcBorders>
              <w:tl2br w:val="nil"/>
              <w:tr2bl w:val="nil"/>
            </w:tcBorders>
            <w:shd w:val="clear" w:color="auto" w:fill="auto"/>
            <w:vAlign w:val="center"/>
          </w:tcPr>
          <w:p w14:paraId="1203415A">
            <w:pPr>
              <w:widowControl/>
              <w:spacing w:line="440" w:lineRule="exact"/>
              <w:jc w:val="center"/>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套</w:t>
            </w:r>
          </w:p>
        </w:tc>
      </w:tr>
    </w:tbl>
    <w:p w14:paraId="0A955A8B">
      <w:pPr>
        <w:pStyle w:val="10"/>
        <w:numPr>
          <w:ilvl w:val="0"/>
          <w:numId w:val="2"/>
        </w:numPr>
        <w:tabs>
          <w:tab w:val="left" w:pos="540"/>
        </w:tabs>
        <w:adjustRightInd w:val="0"/>
        <w:snapToGrid w:val="0"/>
        <w:spacing w:line="440" w:lineRule="exact"/>
        <w:rPr>
          <w:rFonts w:hint="eastAsia" w:ascii="宋体" w:hAnsi="宋体" w:eastAsia="宋体" w:cs="宋体"/>
          <w:b/>
          <w:bCs/>
          <w:sz w:val="24"/>
          <w:szCs w:val="24"/>
          <w:highlight w:val="none"/>
        </w:rPr>
      </w:pPr>
      <w:r>
        <w:rPr>
          <w:rFonts w:hint="eastAsia" w:hAnsi="宋体" w:cs="宋体"/>
          <w:b/>
          <w:bCs/>
          <w:sz w:val="24"/>
          <w:szCs w:val="24"/>
          <w:highlight w:val="none"/>
          <w:lang w:val="en-US" w:eastAsia="zh-CN"/>
        </w:rPr>
        <w:t>建设目标</w:t>
      </w:r>
    </w:p>
    <w:p w14:paraId="19E022C6">
      <w:pPr>
        <w:pStyle w:val="10"/>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医院医保移动支付新国标接口改造服务项目建设目标如下：</w:t>
      </w:r>
    </w:p>
    <w:p w14:paraId="6566CDD2">
      <w:pPr>
        <w:pStyle w:val="10"/>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1、成功实现</w:t>
      </w:r>
      <w:r>
        <w:rPr>
          <w:rFonts w:hint="eastAsia" w:hAnsi="宋体" w:cs="宋体"/>
          <w:b w:val="0"/>
          <w:bCs w:val="0"/>
          <w:sz w:val="24"/>
          <w:szCs w:val="24"/>
          <w:highlight w:val="none"/>
          <w:lang w:eastAsia="zh-CN"/>
        </w:rPr>
        <w:t>工伤联网结算</w:t>
      </w:r>
      <w:r>
        <w:rPr>
          <w:rFonts w:hint="eastAsia" w:hAnsi="宋体" w:cs="宋体"/>
          <w:b w:val="0"/>
          <w:bCs w:val="0"/>
          <w:sz w:val="24"/>
          <w:szCs w:val="24"/>
          <w:highlight w:val="none"/>
        </w:rPr>
        <w:t>服务。</w:t>
      </w:r>
    </w:p>
    <w:p w14:paraId="79D65D5C">
      <w:pPr>
        <w:pStyle w:val="10"/>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2、确保HIS系统与工伤保险</w:t>
      </w:r>
      <w:r>
        <w:rPr>
          <w:rFonts w:hint="eastAsia" w:hAnsi="宋体" w:cs="宋体"/>
          <w:b w:val="0"/>
          <w:bCs w:val="0"/>
          <w:sz w:val="24"/>
          <w:szCs w:val="24"/>
          <w:highlight w:val="none"/>
        </w:rPr>
        <w:t>系统对接顺畅，各项功能正常运行。</w:t>
      </w:r>
    </w:p>
    <w:p w14:paraId="73757E17">
      <w:pPr>
        <w:pStyle w:val="10"/>
        <w:numPr>
          <w:ilvl w:val="-1"/>
          <w:numId w:val="0"/>
        </w:numPr>
        <w:tabs>
          <w:tab w:val="left" w:pos="540"/>
        </w:tabs>
        <w:adjustRightInd w:val="0"/>
        <w:snapToGrid w:val="0"/>
        <w:spacing w:line="440" w:lineRule="exact"/>
        <w:ind w:left="0" w:firstLine="480" w:firstLineChars="200"/>
        <w:rPr>
          <w:rFonts w:hint="eastAsia" w:ascii="宋体" w:hAnsi="宋体" w:eastAsia="宋体" w:cs="宋体"/>
          <w:b w:val="0"/>
          <w:bCs w:val="0"/>
          <w:sz w:val="24"/>
          <w:szCs w:val="24"/>
          <w:highlight w:val="none"/>
        </w:rPr>
      </w:pPr>
      <w:r>
        <w:rPr>
          <w:rFonts w:hint="eastAsia" w:hAnsi="宋体" w:cs="宋体"/>
          <w:b w:val="0"/>
          <w:bCs w:val="0"/>
          <w:sz w:val="24"/>
          <w:szCs w:val="24"/>
          <w:highlight w:val="none"/>
          <w:lang w:val="en-US" w:eastAsia="zh-CN"/>
        </w:rPr>
        <w:t>3</w:t>
      </w:r>
      <w:r>
        <w:rPr>
          <w:rFonts w:hint="eastAsia" w:hAnsi="宋体" w:cs="宋体"/>
          <w:b w:val="0"/>
          <w:bCs w:val="0"/>
          <w:sz w:val="24"/>
          <w:szCs w:val="24"/>
          <w:highlight w:val="none"/>
        </w:rPr>
        <w:t>、在一年服务期内保障系统稳定运行，符合</w:t>
      </w:r>
      <w:r>
        <w:rPr>
          <w:rFonts w:hint="eastAsia" w:hAnsi="宋体" w:cs="宋体"/>
          <w:b w:val="0"/>
          <w:bCs w:val="0"/>
          <w:sz w:val="24"/>
          <w:szCs w:val="24"/>
          <w:highlight w:val="none"/>
          <w:lang w:val="en-US" w:eastAsia="zh-CN"/>
        </w:rPr>
        <w:t>工伤保险</w:t>
      </w:r>
      <w:r>
        <w:rPr>
          <w:rFonts w:hint="eastAsia" w:hAnsi="宋体" w:cs="宋体"/>
          <w:b w:val="0"/>
          <w:bCs w:val="0"/>
          <w:sz w:val="24"/>
          <w:szCs w:val="24"/>
          <w:highlight w:val="none"/>
        </w:rPr>
        <w:t>业务要求和规范。</w:t>
      </w:r>
    </w:p>
    <w:p w14:paraId="09E5292D">
      <w:pPr>
        <w:pStyle w:val="10"/>
        <w:numPr>
          <w:ilvl w:val="0"/>
          <w:numId w:val="2"/>
        </w:numPr>
        <w:tabs>
          <w:tab w:val="left" w:pos="540"/>
        </w:tabs>
        <w:adjustRightInd w:val="0"/>
        <w:snapToGrid w:val="0"/>
        <w:spacing w:line="440" w:lineRule="exact"/>
        <w:rPr>
          <w:rFonts w:hint="eastAsia" w:ascii="宋体" w:hAnsi="宋体" w:eastAsia="宋体" w:cs="宋体"/>
          <w:b/>
          <w:bCs/>
          <w:sz w:val="24"/>
          <w:szCs w:val="24"/>
          <w:highlight w:val="none"/>
        </w:rPr>
      </w:pPr>
      <w:r>
        <w:rPr>
          <w:rFonts w:hint="eastAsia" w:hAnsi="宋体" w:cs="宋体"/>
          <w:b/>
          <w:bCs/>
          <w:sz w:val="24"/>
          <w:szCs w:val="24"/>
          <w:highlight w:val="none"/>
          <w:lang w:val="en-US" w:eastAsia="zh-CN"/>
        </w:rPr>
        <w:t>建设原则</w:t>
      </w:r>
    </w:p>
    <w:p w14:paraId="6B7350C7">
      <w:pPr>
        <w:pStyle w:val="10"/>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项目的建设必须从实际出发，在满足现有需求的同时，能够保证随着网络和技术的发展，支持未来的平滑升级和扩容，有效保护投资。并能根据后续需求的变化和业务的发展，灵活支持各种业务的叠加和融合，满足未来业务的需求。</w:t>
      </w:r>
    </w:p>
    <w:p w14:paraId="66E1B3C6">
      <w:pPr>
        <w:pStyle w:val="10"/>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系统的建设应遵从以下原则：</w:t>
      </w:r>
    </w:p>
    <w:p w14:paraId="4792DED3">
      <w:pPr>
        <w:pStyle w:val="10"/>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1、经济、合理原则</w:t>
      </w:r>
    </w:p>
    <w:p w14:paraId="42584805">
      <w:pPr>
        <w:pStyle w:val="10"/>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系统应依据医院现有信息化系统的实际情况，尽可能利用现有的硬件条件，尽可能利用已有的系统和已建设的信息资源，建设适用的业务系统。</w:t>
      </w:r>
    </w:p>
    <w:p w14:paraId="2D331D8A">
      <w:pPr>
        <w:pStyle w:val="10"/>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2、先进性原则</w:t>
      </w:r>
    </w:p>
    <w:p w14:paraId="1D87B6C5">
      <w:pPr>
        <w:pStyle w:val="10"/>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系统应严格遵循信息化国际标准、国家标准的规范要求符合行业的发展趋势，并确保采用当前成熟的产品技术，所有的系统采用新的技术，确保今后相当长的时间内技术上不会落伍。</w:t>
      </w:r>
    </w:p>
    <w:p w14:paraId="16EC9535">
      <w:pPr>
        <w:pStyle w:val="10"/>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3、开放、兼容原则</w:t>
      </w:r>
    </w:p>
    <w:p w14:paraId="61185495">
      <w:pPr>
        <w:pStyle w:val="10"/>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系统应完全符合标准框架协议，采用业界协议，采用开放式标准设计，能够兼容其他医疗系统，满足今后的发展，为未来业务扩展留有充分的扩充余地。</w:t>
      </w:r>
    </w:p>
    <w:p w14:paraId="16B9F068">
      <w:pPr>
        <w:pStyle w:val="10"/>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4、安全、可靠原则</w:t>
      </w:r>
    </w:p>
    <w:p w14:paraId="65119AD5">
      <w:pPr>
        <w:pStyle w:val="10"/>
        <w:numPr>
          <w:ilvl w:val="-1"/>
          <w:numId w:val="0"/>
        </w:numPr>
        <w:tabs>
          <w:tab w:val="left" w:pos="540"/>
        </w:tabs>
        <w:adjustRightInd w:val="0"/>
        <w:snapToGrid w:val="0"/>
        <w:spacing w:line="440" w:lineRule="exact"/>
        <w:ind w:left="0" w:firstLine="480" w:firstLineChars="200"/>
        <w:rPr>
          <w:rFonts w:hint="eastAsia" w:ascii="宋体" w:hAnsi="宋体" w:eastAsia="宋体" w:cs="宋体"/>
          <w:b w:val="0"/>
          <w:bCs w:val="0"/>
          <w:sz w:val="24"/>
          <w:szCs w:val="24"/>
          <w:highlight w:val="none"/>
        </w:rPr>
      </w:pPr>
      <w:r>
        <w:rPr>
          <w:rFonts w:hint="eastAsia" w:hAnsi="宋体" w:cs="宋体"/>
          <w:b w:val="0"/>
          <w:bCs w:val="0"/>
          <w:sz w:val="24"/>
          <w:szCs w:val="24"/>
          <w:highlight w:val="none"/>
        </w:rPr>
        <w:t>系统应具有高度的安全性，具有分级权限管理和高级加密机制，对工作环境要求较低，环境适应能力要强，系统安装使用简单，无需专业人员维护。系统具有很好的备份机制，满足高可靠性需求，对于端到端的业务故障，有很好的备份、应对机制。</w:t>
      </w:r>
    </w:p>
    <w:p w14:paraId="414308E7">
      <w:pPr>
        <w:pStyle w:val="10"/>
        <w:numPr>
          <w:ilvl w:val="0"/>
          <w:numId w:val="2"/>
        </w:numPr>
        <w:tabs>
          <w:tab w:val="left" w:pos="540"/>
        </w:tabs>
        <w:adjustRightInd w:val="0"/>
        <w:snapToGrid w:val="0"/>
        <w:spacing w:line="440" w:lineRule="exact"/>
        <w:rPr>
          <w:rFonts w:hint="eastAsia" w:ascii="宋体" w:hAnsi="宋体" w:eastAsia="宋体" w:cs="宋体"/>
          <w:b w:val="0"/>
          <w:bCs w:val="0"/>
          <w:sz w:val="24"/>
          <w:szCs w:val="24"/>
          <w:highlight w:val="none"/>
        </w:rPr>
      </w:pPr>
      <w:r>
        <w:rPr>
          <w:rFonts w:hint="eastAsia" w:hAnsi="宋体" w:cs="宋体"/>
          <w:b/>
          <w:bCs/>
          <w:sz w:val="24"/>
          <w:szCs w:val="24"/>
          <w:highlight w:val="none"/>
          <w:lang w:val="en-US" w:eastAsia="zh-CN"/>
        </w:rPr>
        <w:t>技术要求</w:t>
      </w:r>
    </w:p>
    <w:p w14:paraId="411F7BC0">
      <w:pPr>
        <w:pStyle w:val="10"/>
        <w:numPr>
          <w:ilvl w:val="0"/>
          <w:numId w:val="5"/>
        </w:numPr>
        <w:tabs>
          <w:tab w:val="left" w:pos="540"/>
        </w:tabs>
        <w:adjustRightInd w:val="0"/>
        <w:snapToGrid w:val="0"/>
        <w:spacing w:line="440" w:lineRule="exact"/>
        <w:ind w:left="0" w:firstLine="0" w:firstLineChars="0"/>
        <w:rPr>
          <w:rFonts w:hint="eastAsia" w:hAnsi="宋体" w:cs="宋体"/>
          <w:b/>
          <w:bCs/>
          <w:sz w:val="24"/>
          <w:szCs w:val="24"/>
          <w:highlight w:val="none"/>
        </w:rPr>
      </w:pPr>
      <w:r>
        <w:rPr>
          <w:rFonts w:hint="eastAsia" w:hAnsi="宋体" w:cs="宋体"/>
          <w:b/>
          <w:bCs/>
          <w:sz w:val="24"/>
          <w:szCs w:val="24"/>
          <w:highlight w:val="none"/>
        </w:rPr>
        <w:t>HIS功能改造</w:t>
      </w:r>
    </w:p>
    <w:tbl>
      <w:tblPr>
        <w:tblStyle w:val="17"/>
        <w:tblW w:w="8282" w:type="dxa"/>
        <w:tblCellSpacing w:w="0" w:type="dxa"/>
        <w:tblInd w:w="5" w:type="dxa"/>
        <w:tblBorders>
          <w:top w:val="single" w:color="EEEEEE" w:sz="2" w:space="0"/>
          <w:left w:val="single" w:color="EEEEEE" w:sz="2"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770"/>
        <w:gridCol w:w="6512"/>
      </w:tblGrid>
      <w:tr w14:paraId="5D5EE8DA">
        <w:tblPrEx>
          <w:tblBorders>
            <w:top w:val="single" w:color="EEEEEE" w:sz="2" w:space="0"/>
            <w:left w:val="single" w:color="EEEEEE" w:sz="2"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3" w:hRule="atLeast"/>
          <w:tblCellSpacing w:w="0" w:type="dxa"/>
        </w:trPr>
        <w:tc>
          <w:tcPr>
            <w:tcW w:w="1770" w:type="dxa"/>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center"/>
          </w:tcPr>
          <w:p w14:paraId="10EEBFC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jc w:val="center"/>
              <w:rPr>
                <w:color w:val="333333"/>
                <w:sz w:val="10"/>
                <w:szCs w:val="10"/>
              </w:rPr>
            </w:pPr>
            <w:r>
              <w:rPr>
                <w:rStyle w:val="20"/>
                <w:rFonts w:hint="eastAsia" w:ascii="宋体" w:hAnsi="宋体" w:eastAsia="宋体" w:cs="宋体"/>
                <w:color w:val="333333"/>
                <w:sz w:val="14"/>
                <w:szCs w:val="14"/>
              </w:rPr>
              <w:t>系统模块</w:t>
            </w:r>
          </w:p>
        </w:tc>
        <w:tc>
          <w:tcPr>
            <w:tcW w:w="6512" w:type="dxa"/>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center"/>
          </w:tcPr>
          <w:p w14:paraId="5F29BBE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jc w:val="center"/>
              <w:rPr>
                <w:color w:val="333333"/>
                <w:sz w:val="10"/>
                <w:szCs w:val="10"/>
              </w:rPr>
            </w:pPr>
            <w:r>
              <w:rPr>
                <w:rStyle w:val="20"/>
                <w:rFonts w:hint="eastAsia" w:ascii="宋体" w:hAnsi="宋体" w:eastAsia="宋体" w:cs="宋体"/>
                <w:color w:val="333333"/>
                <w:sz w:val="14"/>
                <w:szCs w:val="14"/>
              </w:rPr>
              <w:t>改造内容</w:t>
            </w:r>
          </w:p>
        </w:tc>
      </w:tr>
      <w:tr w14:paraId="3F81C473">
        <w:tblPrEx>
          <w:tblBorders>
            <w:top w:val="single" w:color="EEEEEE" w:sz="2" w:space="0"/>
            <w:left w:val="single" w:color="EEEEEE" w:sz="2"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tblCellSpacing w:w="0" w:type="dxa"/>
        </w:trPr>
        <w:tc>
          <w:tcPr>
            <w:tcW w:w="1770" w:type="dxa"/>
            <w:vMerge w:val="restart"/>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center"/>
          </w:tcPr>
          <w:p w14:paraId="3AFCA88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color w:val="333333"/>
                <w:sz w:val="21"/>
                <w:szCs w:val="21"/>
              </w:rPr>
            </w:pPr>
            <w:r>
              <w:rPr>
                <w:rFonts w:hint="eastAsia" w:ascii="宋体" w:hAnsi="宋体" w:eastAsia="宋体" w:cs="宋体"/>
                <w:color w:val="333333"/>
                <w:sz w:val="21"/>
                <w:szCs w:val="21"/>
              </w:rPr>
              <w:t>挂号收费</w:t>
            </w:r>
          </w:p>
        </w:tc>
        <w:tc>
          <w:tcPr>
            <w:tcW w:w="6512" w:type="dxa"/>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top"/>
          </w:tcPr>
          <w:p w14:paraId="0346B14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color w:val="333333"/>
                <w:sz w:val="21"/>
                <w:szCs w:val="21"/>
              </w:rPr>
            </w:pPr>
            <w:r>
              <w:rPr>
                <w:rFonts w:hint="eastAsia" w:ascii="宋体" w:hAnsi="宋体" w:eastAsia="宋体" w:cs="宋体"/>
                <w:color w:val="333333"/>
                <w:sz w:val="21"/>
                <w:szCs w:val="21"/>
              </w:rPr>
              <w:t>建档，增加工伤患者标识</w:t>
            </w:r>
          </w:p>
        </w:tc>
      </w:tr>
      <w:tr w14:paraId="5E7E3742">
        <w:tblPrEx>
          <w:tblBorders>
            <w:top w:val="single" w:color="EEEEEE" w:sz="2" w:space="0"/>
            <w:left w:val="single" w:color="EEEEEE" w:sz="2"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tblCellSpacing w:w="0" w:type="dxa"/>
        </w:trPr>
        <w:tc>
          <w:tcPr>
            <w:tcW w:w="1770" w:type="dxa"/>
            <w:vMerge w:val="continue"/>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center"/>
          </w:tcPr>
          <w:p w14:paraId="65582BC4">
            <w:pPr>
              <w:rPr>
                <w:rFonts w:hint="eastAsia" w:ascii="宋体"/>
                <w:sz w:val="21"/>
                <w:szCs w:val="21"/>
              </w:rPr>
            </w:pPr>
          </w:p>
        </w:tc>
        <w:tc>
          <w:tcPr>
            <w:tcW w:w="6512" w:type="dxa"/>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top"/>
          </w:tcPr>
          <w:p w14:paraId="3CEB2BC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color w:val="333333"/>
                <w:sz w:val="21"/>
                <w:szCs w:val="21"/>
              </w:rPr>
            </w:pPr>
            <w:r>
              <w:rPr>
                <w:rFonts w:hint="eastAsia" w:ascii="宋体" w:hAnsi="宋体" w:eastAsia="宋体" w:cs="宋体"/>
                <w:color w:val="333333"/>
                <w:sz w:val="21"/>
                <w:szCs w:val="21"/>
              </w:rPr>
              <w:t>挂号，工伤患者结算</w:t>
            </w:r>
          </w:p>
        </w:tc>
      </w:tr>
      <w:tr w14:paraId="0C3CEBD2">
        <w:tblPrEx>
          <w:tblBorders>
            <w:top w:val="single" w:color="EEEEEE" w:sz="2" w:space="0"/>
            <w:left w:val="single" w:color="EEEEEE" w:sz="2"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tblCellSpacing w:w="0" w:type="dxa"/>
        </w:trPr>
        <w:tc>
          <w:tcPr>
            <w:tcW w:w="1770" w:type="dxa"/>
            <w:vMerge w:val="continue"/>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center"/>
          </w:tcPr>
          <w:p w14:paraId="2F0FFE5E">
            <w:pPr>
              <w:rPr>
                <w:rFonts w:hint="eastAsia" w:ascii="宋体"/>
                <w:sz w:val="21"/>
                <w:szCs w:val="21"/>
              </w:rPr>
            </w:pPr>
          </w:p>
        </w:tc>
        <w:tc>
          <w:tcPr>
            <w:tcW w:w="6512" w:type="dxa"/>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top"/>
          </w:tcPr>
          <w:p w14:paraId="7A8CF96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color w:val="333333"/>
                <w:sz w:val="21"/>
                <w:szCs w:val="21"/>
              </w:rPr>
            </w:pPr>
            <w:r>
              <w:rPr>
                <w:rFonts w:hint="eastAsia" w:ascii="宋体" w:hAnsi="宋体" w:eastAsia="宋体" w:cs="宋体"/>
                <w:color w:val="333333"/>
                <w:sz w:val="21"/>
                <w:szCs w:val="21"/>
              </w:rPr>
              <w:t>结算，工伤患者结算</w:t>
            </w:r>
          </w:p>
        </w:tc>
      </w:tr>
      <w:tr w14:paraId="43201904">
        <w:tblPrEx>
          <w:tblBorders>
            <w:top w:val="single" w:color="EEEEEE" w:sz="2" w:space="0"/>
            <w:left w:val="single" w:color="EEEEEE" w:sz="2"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tblCellSpacing w:w="0" w:type="dxa"/>
        </w:trPr>
        <w:tc>
          <w:tcPr>
            <w:tcW w:w="1770" w:type="dxa"/>
            <w:vMerge w:val="continue"/>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center"/>
          </w:tcPr>
          <w:p w14:paraId="6ADBC7AA">
            <w:pPr>
              <w:rPr>
                <w:rFonts w:hint="eastAsia" w:ascii="宋体"/>
                <w:sz w:val="21"/>
                <w:szCs w:val="21"/>
              </w:rPr>
            </w:pPr>
          </w:p>
        </w:tc>
        <w:tc>
          <w:tcPr>
            <w:tcW w:w="6512" w:type="dxa"/>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top"/>
          </w:tcPr>
          <w:p w14:paraId="74E1D97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color w:val="333333"/>
                <w:sz w:val="21"/>
                <w:szCs w:val="21"/>
              </w:rPr>
            </w:pPr>
            <w:r>
              <w:rPr>
                <w:rFonts w:hint="eastAsia" w:ascii="宋体" w:hAnsi="宋体" w:eastAsia="宋体" w:cs="宋体"/>
                <w:color w:val="333333"/>
                <w:sz w:val="21"/>
                <w:szCs w:val="21"/>
              </w:rPr>
              <w:t>门诊日报，增加工伤结算类型</w:t>
            </w:r>
          </w:p>
        </w:tc>
      </w:tr>
      <w:tr w14:paraId="4BE4E694">
        <w:tblPrEx>
          <w:tblBorders>
            <w:top w:val="single" w:color="EEEEEE" w:sz="2" w:space="0"/>
            <w:left w:val="single" w:color="EEEEEE" w:sz="2"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tblCellSpacing w:w="0" w:type="dxa"/>
        </w:trPr>
        <w:tc>
          <w:tcPr>
            <w:tcW w:w="1770" w:type="dxa"/>
            <w:vMerge w:val="restart"/>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center"/>
          </w:tcPr>
          <w:p w14:paraId="3298DA3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color w:val="333333"/>
                <w:sz w:val="21"/>
                <w:szCs w:val="21"/>
              </w:rPr>
            </w:pPr>
            <w:r>
              <w:rPr>
                <w:rFonts w:hint="eastAsia" w:ascii="宋体" w:hAnsi="宋体" w:eastAsia="宋体" w:cs="宋体"/>
                <w:color w:val="333333"/>
                <w:sz w:val="21"/>
                <w:szCs w:val="21"/>
              </w:rPr>
              <w:t>住院收费</w:t>
            </w:r>
          </w:p>
        </w:tc>
        <w:tc>
          <w:tcPr>
            <w:tcW w:w="6512" w:type="dxa"/>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top"/>
          </w:tcPr>
          <w:p w14:paraId="358907C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color w:val="333333"/>
                <w:sz w:val="21"/>
                <w:szCs w:val="21"/>
              </w:rPr>
            </w:pPr>
            <w:r>
              <w:rPr>
                <w:rFonts w:hint="eastAsia" w:ascii="宋体" w:hAnsi="宋体" w:eastAsia="宋体" w:cs="宋体"/>
                <w:color w:val="333333"/>
                <w:sz w:val="21"/>
                <w:szCs w:val="21"/>
              </w:rPr>
              <w:t>入院登记，增加工伤患者标识</w:t>
            </w:r>
          </w:p>
        </w:tc>
      </w:tr>
      <w:tr w14:paraId="5EEEB43C">
        <w:tblPrEx>
          <w:tblBorders>
            <w:top w:val="single" w:color="EEEEEE" w:sz="2" w:space="0"/>
            <w:left w:val="single" w:color="EEEEEE" w:sz="2"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tblCellSpacing w:w="0" w:type="dxa"/>
        </w:trPr>
        <w:tc>
          <w:tcPr>
            <w:tcW w:w="1770" w:type="dxa"/>
            <w:vMerge w:val="continue"/>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center"/>
          </w:tcPr>
          <w:p w14:paraId="221AC4FD">
            <w:pPr>
              <w:rPr>
                <w:rFonts w:hint="eastAsia" w:ascii="宋体"/>
                <w:sz w:val="21"/>
                <w:szCs w:val="21"/>
              </w:rPr>
            </w:pPr>
          </w:p>
        </w:tc>
        <w:tc>
          <w:tcPr>
            <w:tcW w:w="6512" w:type="dxa"/>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top"/>
          </w:tcPr>
          <w:p w14:paraId="40D4486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color w:val="333333"/>
                <w:sz w:val="21"/>
                <w:szCs w:val="21"/>
              </w:rPr>
            </w:pPr>
            <w:r>
              <w:rPr>
                <w:rFonts w:hint="eastAsia" w:ascii="宋体" w:hAnsi="宋体" w:eastAsia="宋体" w:cs="宋体"/>
                <w:color w:val="333333"/>
                <w:sz w:val="21"/>
                <w:szCs w:val="21"/>
              </w:rPr>
              <w:t>预结算，工作患者预结算</w:t>
            </w:r>
          </w:p>
        </w:tc>
      </w:tr>
      <w:tr w14:paraId="77AFE7C4">
        <w:tblPrEx>
          <w:tblBorders>
            <w:top w:val="single" w:color="EEEEEE" w:sz="2" w:space="0"/>
            <w:left w:val="single" w:color="EEEEEE" w:sz="2"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tblCellSpacing w:w="0" w:type="dxa"/>
        </w:trPr>
        <w:tc>
          <w:tcPr>
            <w:tcW w:w="1770" w:type="dxa"/>
            <w:vMerge w:val="continue"/>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center"/>
          </w:tcPr>
          <w:p w14:paraId="0E0E7B55">
            <w:pPr>
              <w:rPr>
                <w:rFonts w:hint="eastAsia" w:ascii="宋体"/>
                <w:sz w:val="21"/>
                <w:szCs w:val="21"/>
              </w:rPr>
            </w:pPr>
          </w:p>
        </w:tc>
        <w:tc>
          <w:tcPr>
            <w:tcW w:w="6512" w:type="dxa"/>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top"/>
          </w:tcPr>
          <w:p w14:paraId="063389F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color w:val="333333"/>
                <w:sz w:val="21"/>
                <w:szCs w:val="21"/>
              </w:rPr>
            </w:pPr>
            <w:r>
              <w:rPr>
                <w:rFonts w:hint="eastAsia" w:ascii="宋体" w:hAnsi="宋体" w:eastAsia="宋体" w:cs="宋体"/>
                <w:color w:val="333333"/>
                <w:sz w:val="21"/>
                <w:szCs w:val="21"/>
              </w:rPr>
              <w:t>结算，工伤患者结算</w:t>
            </w:r>
          </w:p>
        </w:tc>
      </w:tr>
      <w:tr w14:paraId="27CB9EF3">
        <w:tblPrEx>
          <w:tblBorders>
            <w:top w:val="single" w:color="EEEEEE" w:sz="2" w:space="0"/>
            <w:left w:val="single" w:color="EEEEEE" w:sz="2"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tblCellSpacing w:w="0" w:type="dxa"/>
        </w:trPr>
        <w:tc>
          <w:tcPr>
            <w:tcW w:w="1770" w:type="dxa"/>
            <w:vMerge w:val="continue"/>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center"/>
          </w:tcPr>
          <w:p w14:paraId="4D742C4B">
            <w:pPr>
              <w:rPr>
                <w:rFonts w:hint="eastAsia" w:ascii="宋体"/>
                <w:sz w:val="21"/>
                <w:szCs w:val="21"/>
              </w:rPr>
            </w:pPr>
          </w:p>
        </w:tc>
        <w:tc>
          <w:tcPr>
            <w:tcW w:w="6512" w:type="dxa"/>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top"/>
          </w:tcPr>
          <w:p w14:paraId="7FA0EC4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color w:val="333333"/>
                <w:sz w:val="21"/>
                <w:szCs w:val="21"/>
              </w:rPr>
            </w:pPr>
            <w:r>
              <w:rPr>
                <w:rFonts w:hint="eastAsia" w:ascii="宋体" w:hAnsi="宋体" w:eastAsia="宋体" w:cs="宋体"/>
                <w:color w:val="333333"/>
                <w:sz w:val="21"/>
                <w:szCs w:val="21"/>
              </w:rPr>
              <w:t>住院日报，增加工伤结算类型</w:t>
            </w:r>
          </w:p>
        </w:tc>
      </w:tr>
    </w:tbl>
    <w:p w14:paraId="63FB6927">
      <w:pPr>
        <w:pStyle w:val="10"/>
        <w:numPr>
          <w:ilvl w:val="0"/>
          <w:numId w:val="5"/>
        </w:numPr>
        <w:tabs>
          <w:tab w:val="left" w:pos="540"/>
        </w:tabs>
        <w:adjustRightInd w:val="0"/>
        <w:snapToGrid w:val="0"/>
        <w:spacing w:line="440" w:lineRule="exact"/>
        <w:ind w:left="0" w:firstLine="0" w:firstLineChars="0"/>
        <w:rPr>
          <w:rFonts w:hint="eastAsia" w:hAnsi="宋体" w:cs="宋体"/>
          <w:b/>
          <w:bCs/>
          <w:sz w:val="24"/>
          <w:szCs w:val="24"/>
          <w:highlight w:val="none"/>
        </w:rPr>
      </w:pPr>
      <w:r>
        <w:rPr>
          <w:rFonts w:hint="eastAsia" w:hAnsi="宋体" w:cs="宋体"/>
          <w:b/>
          <w:bCs/>
          <w:sz w:val="24"/>
          <w:szCs w:val="24"/>
          <w:highlight w:val="none"/>
          <w:lang w:val="en-US" w:eastAsia="zh-CN"/>
        </w:rPr>
        <w:t>医院工伤保险实时交易改造</w:t>
      </w:r>
    </w:p>
    <w:tbl>
      <w:tblPr>
        <w:tblStyle w:val="17"/>
        <w:tblW w:w="8267" w:type="dxa"/>
        <w:tblCellSpacing w:w="0" w:type="dxa"/>
        <w:tblInd w:w="5" w:type="dxa"/>
        <w:tblBorders>
          <w:top w:val="single" w:color="EEEEEE" w:sz="2" w:space="0"/>
          <w:left w:val="single" w:color="EEEEEE" w:sz="2"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68"/>
        <w:gridCol w:w="6199"/>
      </w:tblGrid>
      <w:tr w14:paraId="574728FC">
        <w:tblPrEx>
          <w:tblBorders>
            <w:top w:val="single" w:color="EEEEEE" w:sz="2" w:space="0"/>
            <w:left w:val="single" w:color="EEEEEE" w:sz="2"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blCellSpacing w:w="0" w:type="dxa"/>
        </w:trPr>
        <w:tc>
          <w:tcPr>
            <w:tcW w:w="2068" w:type="dxa"/>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center"/>
          </w:tcPr>
          <w:p w14:paraId="3846195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jc w:val="center"/>
              <w:rPr>
                <w:color w:val="333333"/>
                <w:sz w:val="10"/>
                <w:szCs w:val="10"/>
              </w:rPr>
            </w:pPr>
            <w:r>
              <w:rPr>
                <w:rStyle w:val="20"/>
                <w:rFonts w:hint="eastAsia" w:ascii="宋体" w:hAnsi="宋体" w:eastAsia="宋体" w:cs="宋体"/>
                <w:color w:val="333333"/>
                <w:sz w:val="14"/>
                <w:szCs w:val="14"/>
              </w:rPr>
              <w:t>主模块</w:t>
            </w:r>
          </w:p>
        </w:tc>
        <w:tc>
          <w:tcPr>
            <w:tcW w:w="6199" w:type="dxa"/>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center"/>
          </w:tcPr>
          <w:p w14:paraId="678C2D6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jc w:val="center"/>
              <w:rPr>
                <w:color w:val="333333"/>
                <w:sz w:val="10"/>
                <w:szCs w:val="10"/>
              </w:rPr>
            </w:pPr>
            <w:r>
              <w:rPr>
                <w:rStyle w:val="20"/>
                <w:rFonts w:hint="eastAsia" w:ascii="宋体" w:hAnsi="宋体" w:eastAsia="宋体" w:cs="宋体"/>
                <w:color w:val="333333"/>
                <w:sz w:val="14"/>
                <w:szCs w:val="14"/>
              </w:rPr>
              <w:t>子模块</w:t>
            </w:r>
          </w:p>
        </w:tc>
      </w:tr>
      <w:tr w14:paraId="118C5878">
        <w:tblPrEx>
          <w:tblBorders>
            <w:top w:val="single" w:color="EEEEEE" w:sz="2" w:space="0"/>
            <w:left w:val="single" w:color="EEEEEE" w:sz="2"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 w:hRule="atLeast"/>
          <w:tblCellSpacing w:w="0" w:type="dxa"/>
        </w:trPr>
        <w:tc>
          <w:tcPr>
            <w:tcW w:w="2068" w:type="dxa"/>
            <w:vMerge w:val="restart"/>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center"/>
          </w:tcPr>
          <w:p w14:paraId="24A94B4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color w:val="333333"/>
                <w:sz w:val="24"/>
                <w:szCs w:val="24"/>
              </w:rPr>
            </w:pPr>
            <w:r>
              <w:rPr>
                <w:rFonts w:hint="eastAsia" w:ascii="宋体" w:hAnsi="宋体" w:eastAsia="宋体" w:cs="宋体"/>
                <w:color w:val="333333"/>
                <w:sz w:val="24"/>
                <w:szCs w:val="24"/>
              </w:rPr>
              <w:t>对账类</w:t>
            </w:r>
          </w:p>
        </w:tc>
        <w:tc>
          <w:tcPr>
            <w:tcW w:w="6199" w:type="dxa"/>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center"/>
          </w:tcPr>
          <w:p w14:paraId="125F6D1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color w:val="333333"/>
                <w:sz w:val="24"/>
                <w:szCs w:val="24"/>
              </w:rPr>
            </w:pPr>
            <w:r>
              <w:rPr>
                <w:rFonts w:hint="eastAsia" w:ascii="宋体" w:hAnsi="宋体" w:eastAsia="宋体" w:cs="宋体"/>
                <w:color w:val="333333"/>
                <w:sz w:val="24"/>
                <w:szCs w:val="24"/>
              </w:rPr>
              <w:t>总额对账</w:t>
            </w:r>
          </w:p>
        </w:tc>
      </w:tr>
      <w:tr w14:paraId="344402A1">
        <w:tblPrEx>
          <w:tblBorders>
            <w:top w:val="single" w:color="EEEEEE" w:sz="2" w:space="0"/>
            <w:left w:val="single" w:color="EEEEEE" w:sz="2"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blCellSpacing w:w="0" w:type="dxa"/>
        </w:trPr>
        <w:tc>
          <w:tcPr>
            <w:tcW w:w="2068" w:type="dxa"/>
            <w:vMerge w:val="continue"/>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center"/>
          </w:tcPr>
          <w:p w14:paraId="4DAE77F7">
            <w:pPr>
              <w:rPr>
                <w:rFonts w:hint="eastAsia" w:ascii="宋体"/>
                <w:sz w:val="24"/>
                <w:szCs w:val="24"/>
              </w:rPr>
            </w:pPr>
          </w:p>
        </w:tc>
        <w:tc>
          <w:tcPr>
            <w:tcW w:w="6199" w:type="dxa"/>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center"/>
          </w:tcPr>
          <w:p w14:paraId="6D600B3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color w:val="333333"/>
                <w:sz w:val="24"/>
                <w:szCs w:val="24"/>
              </w:rPr>
            </w:pPr>
            <w:r>
              <w:rPr>
                <w:rFonts w:hint="eastAsia" w:ascii="宋体" w:hAnsi="宋体" w:eastAsia="宋体" w:cs="宋体"/>
                <w:color w:val="333333"/>
                <w:sz w:val="24"/>
                <w:szCs w:val="24"/>
              </w:rPr>
              <w:t>明细对账</w:t>
            </w:r>
          </w:p>
        </w:tc>
      </w:tr>
      <w:tr w14:paraId="68EBFE21">
        <w:tblPrEx>
          <w:tblBorders>
            <w:top w:val="single" w:color="EEEEEE" w:sz="2" w:space="0"/>
            <w:left w:val="single" w:color="EEEEEE" w:sz="2"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blCellSpacing w:w="0" w:type="dxa"/>
        </w:trPr>
        <w:tc>
          <w:tcPr>
            <w:tcW w:w="2068" w:type="dxa"/>
            <w:vMerge w:val="continue"/>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center"/>
          </w:tcPr>
          <w:p w14:paraId="2F9108F4">
            <w:pPr>
              <w:rPr>
                <w:rFonts w:hint="eastAsia" w:ascii="宋体"/>
                <w:sz w:val="24"/>
                <w:szCs w:val="24"/>
              </w:rPr>
            </w:pPr>
          </w:p>
        </w:tc>
        <w:tc>
          <w:tcPr>
            <w:tcW w:w="6199" w:type="dxa"/>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center"/>
          </w:tcPr>
          <w:p w14:paraId="7B8844D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color w:val="333333"/>
                <w:sz w:val="24"/>
                <w:szCs w:val="24"/>
              </w:rPr>
            </w:pPr>
            <w:r>
              <w:rPr>
                <w:rFonts w:hint="eastAsia" w:ascii="宋体" w:hAnsi="宋体" w:eastAsia="宋体" w:cs="宋体"/>
                <w:color w:val="333333"/>
                <w:sz w:val="24"/>
                <w:szCs w:val="24"/>
              </w:rPr>
              <w:t>对账确认</w:t>
            </w:r>
          </w:p>
        </w:tc>
      </w:tr>
      <w:tr w14:paraId="5195F8D0">
        <w:tblPrEx>
          <w:tblBorders>
            <w:top w:val="single" w:color="EEEEEE" w:sz="2" w:space="0"/>
            <w:left w:val="single" w:color="EEEEEE" w:sz="2"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blCellSpacing w:w="0" w:type="dxa"/>
        </w:trPr>
        <w:tc>
          <w:tcPr>
            <w:tcW w:w="2068" w:type="dxa"/>
            <w:vMerge w:val="continue"/>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center"/>
          </w:tcPr>
          <w:p w14:paraId="37A4D1EA">
            <w:pPr>
              <w:rPr>
                <w:rFonts w:hint="eastAsia" w:ascii="宋体"/>
                <w:sz w:val="24"/>
                <w:szCs w:val="24"/>
              </w:rPr>
            </w:pPr>
          </w:p>
        </w:tc>
        <w:tc>
          <w:tcPr>
            <w:tcW w:w="6199" w:type="dxa"/>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center"/>
          </w:tcPr>
          <w:p w14:paraId="1144C45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color w:val="333333"/>
                <w:sz w:val="24"/>
                <w:szCs w:val="24"/>
              </w:rPr>
            </w:pPr>
            <w:r>
              <w:rPr>
                <w:rFonts w:hint="eastAsia" w:ascii="宋体" w:hAnsi="宋体" w:eastAsia="宋体" w:cs="宋体"/>
                <w:color w:val="333333"/>
                <w:sz w:val="24"/>
                <w:szCs w:val="24"/>
              </w:rPr>
              <w:t>对账确认撤销</w:t>
            </w:r>
          </w:p>
        </w:tc>
      </w:tr>
      <w:tr w14:paraId="3056873E">
        <w:tblPrEx>
          <w:tblBorders>
            <w:top w:val="single" w:color="EEEEEE" w:sz="2" w:space="0"/>
            <w:left w:val="single" w:color="EEEEEE" w:sz="2"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blCellSpacing w:w="0" w:type="dxa"/>
        </w:trPr>
        <w:tc>
          <w:tcPr>
            <w:tcW w:w="2068" w:type="dxa"/>
            <w:vMerge w:val="restart"/>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center"/>
          </w:tcPr>
          <w:p w14:paraId="712E062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color w:val="333333"/>
                <w:sz w:val="24"/>
                <w:szCs w:val="24"/>
              </w:rPr>
            </w:pPr>
            <w:r>
              <w:rPr>
                <w:rFonts w:hint="eastAsia" w:ascii="宋体" w:hAnsi="宋体" w:eastAsia="宋体" w:cs="宋体"/>
                <w:color w:val="333333"/>
                <w:sz w:val="24"/>
                <w:szCs w:val="24"/>
              </w:rPr>
              <w:t>业务类</w:t>
            </w:r>
          </w:p>
        </w:tc>
        <w:tc>
          <w:tcPr>
            <w:tcW w:w="6199" w:type="dxa"/>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center"/>
          </w:tcPr>
          <w:p w14:paraId="791A91D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fldChar w:fldCharType="begin"/>
            </w:r>
            <w:r>
              <w:rPr>
                <w:rFonts w:hint="eastAsia" w:ascii="宋体" w:hAnsi="宋体" w:eastAsia="宋体" w:cs="宋体"/>
                <w:color w:val="333333"/>
                <w:sz w:val="24"/>
                <w:szCs w:val="24"/>
              </w:rPr>
              <w:instrText xml:space="preserve"> HYPERLINK \l "_Toc8242661" </w:instrText>
            </w:r>
            <w:r>
              <w:rPr>
                <w:rFonts w:hint="eastAsia" w:ascii="宋体" w:hAnsi="宋体" w:eastAsia="宋体" w:cs="宋体"/>
                <w:color w:val="333333"/>
                <w:sz w:val="24"/>
                <w:szCs w:val="24"/>
              </w:rPr>
              <w:fldChar w:fldCharType="separate"/>
            </w:r>
            <w:r>
              <w:rPr>
                <w:rFonts w:hint="eastAsia" w:ascii="宋体" w:hAnsi="宋体" w:eastAsia="宋体" w:cs="宋体"/>
                <w:color w:val="333333"/>
                <w:sz w:val="24"/>
                <w:szCs w:val="24"/>
              </w:rPr>
              <w:t>门诊业务</w:t>
            </w:r>
            <w:r>
              <w:rPr>
                <w:rFonts w:hint="eastAsia" w:ascii="宋体" w:hAnsi="宋体" w:eastAsia="宋体" w:cs="宋体"/>
                <w:color w:val="333333"/>
                <w:sz w:val="24"/>
                <w:szCs w:val="24"/>
              </w:rPr>
              <w:tab/>
            </w:r>
            <w:r>
              <w:rPr>
                <w:rFonts w:hint="eastAsia" w:ascii="宋体" w:hAnsi="宋体" w:eastAsia="宋体" w:cs="宋体"/>
                <w:color w:val="333333"/>
                <w:sz w:val="24"/>
                <w:szCs w:val="24"/>
              </w:rPr>
              <w:fldChar w:fldCharType="end"/>
            </w:r>
          </w:p>
          <w:p w14:paraId="152AE7B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fldChar w:fldCharType="begin"/>
            </w:r>
            <w:r>
              <w:rPr>
                <w:rFonts w:hint="eastAsia" w:ascii="宋体" w:hAnsi="宋体" w:eastAsia="宋体" w:cs="宋体"/>
                <w:color w:val="333333"/>
                <w:sz w:val="24"/>
                <w:szCs w:val="24"/>
              </w:rPr>
              <w:instrText xml:space="preserve"> HYPERLINK \l "_Toc8242662" </w:instrText>
            </w:r>
            <w:r>
              <w:rPr>
                <w:rFonts w:hint="eastAsia" w:ascii="宋体" w:hAnsi="宋体" w:eastAsia="宋体" w:cs="宋体"/>
                <w:color w:val="333333"/>
                <w:sz w:val="24"/>
                <w:szCs w:val="24"/>
              </w:rPr>
              <w:fldChar w:fldCharType="separate"/>
            </w:r>
            <w:r>
              <w:rPr>
                <w:rFonts w:hint="eastAsia" w:ascii="宋体" w:hAnsi="宋体" w:eastAsia="宋体" w:cs="宋体"/>
                <w:color w:val="333333"/>
                <w:sz w:val="24"/>
                <w:szCs w:val="24"/>
              </w:rPr>
              <w:t>门诊挂号时取人员信息</w:t>
            </w:r>
            <w:r>
              <w:rPr>
                <w:rFonts w:hint="eastAsia" w:ascii="宋体" w:hAnsi="宋体" w:eastAsia="宋体" w:cs="宋体"/>
                <w:color w:val="333333"/>
                <w:sz w:val="24"/>
                <w:szCs w:val="24"/>
              </w:rPr>
              <w:tab/>
            </w:r>
            <w:r>
              <w:rPr>
                <w:rFonts w:hint="eastAsia" w:ascii="宋体" w:hAnsi="宋体" w:eastAsia="宋体" w:cs="宋体"/>
                <w:color w:val="333333"/>
                <w:sz w:val="24"/>
                <w:szCs w:val="24"/>
              </w:rPr>
              <w:fldChar w:fldCharType="end"/>
            </w:r>
          </w:p>
          <w:p w14:paraId="6145131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fldChar w:fldCharType="begin"/>
            </w:r>
            <w:r>
              <w:rPr>
                <w:rFonts w:hint="eastAsia" w:ascii="宋体" w:hAnsi="宋体" w:eastAsia="宋体" w:cs="宋体"/>
                <w:color w:val="333333"/>
                <w:sz w:val="24"/>
                <w:szCs w:val="24"/>
              </w:rPr>
              <w:instrText xml:space="preserve"> HYPERLINK \l "_Toc8242663" </w:instrText>
            </w:r>
            <w:r>
              <w:rPr>
                <w:rFonts w:hint="eastAsia" w:ascii="宋体" w:hAnsi="宋体" w:eastAsia="宋体" w:cs="宋体"/>
                <w:color w:val="333333"/>
                <w:sz w:val="24"/>
                <w:szCs w:val="24"/>
              </w:rPr>
              <w:fldChar w:fldCharType="separate"/>
            </w:r>
            <w:r>
              <w:rPr>
                <w:rFonts w:hint="eastAsia" w:ascii="宋体" w:hAnsi="宋体" w:eastAsia="宋体" w:cs="宋体"/>
                <w:color w:val="333333"/>
                <w:sz w:val="24"/>
                <w:szCs w:val="24"/>
              </w:rPr>
              <w:t>收费时提取门诊业务信息</w:t>
            </w:r>
            <w:r>
              <w:rPr>
                <w:rFonts w:hint="eastAsia" w:ascii="宋体" w:hAnsi="宋体" w:eastAsia="宋体" w:cs="宋体"/>
                <w:color w:val="333333"/>
                <w:sz w:val="24"/>
                <w:szCs w:val="24"/>
              </w:rPr>
              <w:tab/>
            </w:r>
            <w:r>
              <w:rPr>
                <w:rFonts w:hint="eastAsia" w:ascii="宋体" w:hAnsi="宋体" w:eastAsia="宋体" w:cs="宋体"/>
                <w:color w:val="333333"/>
                <w:sz w:val="24"/>
                <w:szCs w:val="24"/>
              </w:rPr>
              <w:fldChar w:fldCharType="end"/>
            </w:r>
          </w:p>
          <w:p w14:paraId="7DF83FE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fldChar w:fldCharType="begin"/>
            </w:r>
            <w:r>
              <w:rPr>
                <w:rFonts w:hint="eastAsia" w:ascii="宋体" w:hAnsi="宋体" w:eastAsia="宋体" w:cs="宋体"/>
                <w:color w:val="333333"/>
                <w:sz w:val="24"/>
                <w:szCs w:val="24"/>
              </w:rPr>
              <w:instrText xml:space="preserve"> HYPERLINK \l "_Toc8242664" </w:instrText>
            </w:r>
            <w:r>
              <w:rPr>
                <w:rFonts w:hint="eastAsia" w:ascii="宋体" w:hAnsi="宋体" w:eastAsia="宋体" w:cs="宋体"/>
                <w:color w:val="333333"/>
                <w:sz w:val="24"/>
                <w:szCs w:val="24"/>
              </w:rPr>
              <w:fldChar w:fldCharType="separate"/>
            </w:r>
            <w:r>
              <w:rPr>
                <w:rFonts w:hint="eastAsia" w:ascii="宋体" w:hAnsi="宋体" w:eastAsia="宋体" w:cs="宋体"/>
                <w:color w:val="333333"/>
                <w:sz w:val="24"/>
                <w:szCs w:val="24"/>
              </w:rPr>
              <w:t>退费时提取门诊业务信息</w:t>
            </w:r>
            <w:r>
              <w:rPr>
                <w:rFonts w:hint="eastAsia" w:ascii="宋体" w:hAnsi="宋体" w:eastAsia="宋体" w:cs="宋体"/>
                <w:color w:val="333333"/>
                <w:sz w:val="24"/>
                <w:szCs w:val="24"/>
              </w:rPr>
              <w:tab/>
            </w:r>
            <w:r>
              <w:rPr>
                <w:rFonts w:hint="eastAsia" w:ascii="宋体" w:hAnsi="宋体" w:eastAsia="宋体" w:cs="宋体"/>
                <w:color w:val="333333"/>
                <w:sz w:val="24"/>
                <w:szCs w:val="24"/>
              </w:rPr>
              <w:fldChar w:fldCharType="end"/>
            </w:r>
          </w:p>
          <w:p w14:paraId="6EFA058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fldChar w:fldCharType="begin"/>
            </w:r>
            <w:r>
              <w:rPr>
                <w:rFonts w:hint="eastAsia" w:ascii="宋体" w:hAnsi="宋体" w:eastAsia="宋体" w:cs="宋体"/>
                <w:color w:val="333333"/>
                <w:sz w:val="24"/>
                <w:szCs w:val="24"/>
              </w:rPr>
              <w:instrText xml:space="preserve"> HYPERLINK \l "_Toc8242665" </w:instrText>
            </w:r>
            <w:r>
              <w:rPr>
                <w:rFonts w:hint="eastAsia" w:ascii="宋体" w:hAnsi="宋体" w:eastAsia="宋体" w:cs="宋体"/>
                <w:color w:val="333333"/>
                <w:sz w:val="24"/>
                <w:szCs w:val="24"/>
              </w:rPr>
              <w:fldChar w:fldCharType="separate"/>
            </w:r>
            <w:r>
              <w:rPr>
                <w:rFonts w:hint="eastAsia" w:ascii="宋体" w:hAnsi="宋体" w:eastAsia="宋体" w:cs="宋体"/>
                <w:color w:val="333333"/>
                <w:sz w:val="24"/>
                <w:szCs w:val="24"/>
              </w:rPr>
              <w:t>门诊挂号</w:t>
            </w:r>
            <w:r>
              <w:rPr>
                <w:rFonts w:hint="eastAsia" w:ascii="宋体" w:hAnsi="宋体" w:eastAsia="宋体" w:cs="宋体"/>
                <w:color w:val="333333"/>
                <w:sz w:val="24"/>
                <w:szCs w:val="24"/>
              </w:rPr>
              <w:tab/>
            </w:r>
            <w:r>
              <w:rPr>
                <w:rFonts w:hint="eastAsia" w:ascii="宋体" w:hAnsi="宋体" w:eastAsia="宋体" w:cs="宋体"/>
                <w:color w:val="333333"/>
                <w:sz w:val="24"/>
                <w:szCs w:val="24"/>
              </w:rPr>
              <w:fldChar w:fldCharType="end"/>
            </w:r>
          </w:p>
          <w:p w14:paraId="13E31C0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fldChar w:fldCharType="begin"/>
            </w:r>
            <w:r>
              <w:rPr>
                <w:rFonts w:hint="eastAsia" w:ascii="宋体" w:hAnsi="宋体" w:eastAsia="宋体" w:cs="宋体"/>
                <w:color w:val="333333"/>
                <w:sz w:val="24"/>
                <w:szCs w:val="24"/>
              </w:rPr>
              <w:instrText xml:space="preserve"> HYPERLINK \l "_Toc8242666" </w:instrText>
            </w:r>
            <w:r>
              <w:rPr>
                <w:rFonts w:hint="eastAsia" w:ascii="宋体" w:hAnsi="宋体" w:eastAsia="宋体" w:cs="宋体"/>
                <w:color w:val="333333"/>
                <w:sz w:val="24"/>
                <w:szCs w:val="24"/>
              </w:rPr>
              <w:fldChar w:fldCharType="separate"/>
            </w:r>
            <w:r>
              <w:rPr>
                <w:rFonts w:hint="eastAsia" w:ascii="宋体" w:hAnsi="宋体" w:eastAsia="宋体" w:cs="宋体"/>
                <w:color w:val="333333"/>
                <w:sz w:val="24"/>
                <w:szCs w:val="24"/>
              </w:rPr>
              <w:t>门诊费用上传并结算</w:t>
            </w:r>
            <w:r>
              <w:rPr>
                <w:rFonts w:hint="eastAsia" w:ascii="宋体" w:hAnsi="宋体" w:eastAsia="宋体" w:cs="宋体"/>
                <w:color w:val="333333"/>
                <w:sz w:val="24"/>
                <w:szCs w:val="24"/>
              </w:rPr>
              <w:tab/>
            </w:r>
            <w:r>
              <w:rPr>
                <w:rFonts w:hint="eastAsia" w:ascii="宋体" w:hAnsi="宋体" w:eastAsia="宋体" w:cs="宋体"/>
                <w:color w:val="333333"/>
                <w:sz w:val="24"/>
                <w:szCs w:val="24"/>
              </w:rPr>
              <w:fldChar w:fldCharType="end"/>
            </w:r>
          </w:p>
          <w:p w14:paraId="6AABB27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color w:val="333333"/>
                <w:sz w:val="24"/>
                <w:szCs w:val="24"/>
              </w:rPr>
            </w:pPr>
            <w:r>
              <w:rPr>
                <w:rFonts w:hint="eastAsia" w:ascii="宋体" w:hAnsi="宋体" w:eastAsia="宋体" w:cs="宋体"/>
                <w:color w:val="333333"/>
                <w:sz w:val="24"/>
                <w:szCs w:val="24"/>
              </w:rPr>
              <w:fldChar w:fldCharType="begin"/>
            </w:r>
            <w:r>
              <w:rPr>
                <w:rFonts w:hint="eastAsia" w:ascii="宋体" w:hAnsi="宋体" w:eastAsia="宋体" w:cs="宋体"/>
                <w:color w:val="333333"/>
                <w:sz w:val="24"/>
                <w:szCs w:val="24"/>
              </w:rPr>
              <w:instrText xml:space="preserve"> HYPERLINK \l "_Toc8242667" </w:instrText>
            </w:r>
            <w:r>
              <w:rPr>
                <w:rFonts w:hint="eastAsia" w:ascii="宋体" w:hAnsi="宋体" w:eastAsia="宋体" w:cs="宋体"/>
                <w:color w:val="333333"/>
                <w:sz w:val="24"/>
                <w:szCs w:val="24"/>
              </w:rPr>
              <w:fldChar w:fldCharType="separate"/>
            </w:r>
            <w:r>
              <w:rPr>
                <w:rFonts w:hint="eastAsia" w:ascii="宋体" w:hAnsi="宋体" w:eastAsia="宋体" w:cs="宋体"/>
                <w:color w:val="333333"/>
                <w:sz w:val="24"/>
                <w:szCs w:val="24"/>
              </w:rPr>
              <w:t>取消门诊挂号</w:t>
            </w:r>
            <w:r>
              <w:rPr>
                <w:rFonts w:hint="eastAsia" w:ascii="宋体" w:hAnsi="宋体" w:eastAsia="宋体" w:cs="宋体"/>
                <w:color w:val="333333"/>
                <w:sz w:val="24"/>
                <w:szCs w:val="24"/>
              </w:rPr>
              <w:tab/>
            </w:r>
            <w:r>
              <w:rPr>
                <w:rFonts w:hint="eastAsia" w:ascii="宋体" w:hAnsi="宋体" w:eastAsia="宋体" w:cs="宋体"/>
                <w:color w:val="333333"/>
                <w:sz w:val="24"/>
                <w:szCs w:val="24"/>
              </w:rPr>
              <w:fldChar w:fldCharType="end"/>
            </w:r>
          </w:p>
        </w:tc>
      </w:tr>
      <w:tr w14:paraId="7CEAB564">
        <w:tblPrEx>
          <w:tblBorders>
            <w:top w:val="single" w:color="EEEEEE" w:sz="2" w:space="0"/>
            <w:left w:val="single" w:color="EEEEEE" w:sz="2"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blCellSpacing w:w="0" w:type="dxa"/>
        </w:trPr>
        <w:tc>
          <w:tcPr>
            <w:tcW w:w="2068" w:type="dxa"/>
            <w:vMerge w:val="continue"/>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center"/>
          </w:tcPr>
          <w:p w14:paraId="3A885EB7">
            <w:pPr>
              <w:rPr>
                <w:rFonts w:hint="eastAsia" w:ascii="宋体"/>
                <w:sz w:val="24"/>
                <w:szCs w:val="24"/>
              </w:rPr>
            </w:pPr>
          </w:p>
        </w:tc>
        <w:tc>
          <w:tcPr>
            <w:tcW w:w="6199" w:type="dxa"/>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center"/>
          </w:tcPr>
          <w:p w14:paraId="7302160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fldChar w:fldCharType="begin"/>
            </w:r>
            <w:r>
              <w:rPr>
                <w:rFonts w:hint="eastAsia" w:ascii="宋体" w:hAnsi="宋体" w:eastAsia="宋体" w:cs="宋体"/>
                <w:color w:val="333333"/>
                <w:sz w:val="24"/>
                <w:szCs w:val="24"/>
              </w:rPr>
              <w:instrText xml:space="preserve"> HYPERLINK \l "_Toc8242668" </w:instrText>
            </w:r>
            <w:r>
              <w:rPr>
                <w:rFonts w:hint="eastAsia" w:ascii="宋体" w:hAnsi="宋体" w:eastAsia="宋体" w:cs="宋体"/>
                <w:color w:val="333333"/>
                <w:sz w:val="24"/>
                <w:szCs w:val="24"/>
              </w:rPr>
              <w:fldChar w:fldCharType="separate"/>
            </w:r>
            <w:r>
              <w:rPr>
                <w:rFonts w:hint="eastAsia" w:ascii="宋体" w:hAnsi="宋体" w:eastAsia="宋体" w:cs="宋体"/>
                <w:color w:val="333333"/>
                <w:sz w:val="24"/>
                <w:szCs w:val="24"/>
              </w:rPr>
              <w:t>住院业务</w:t>
            </w:r>
            <w:r>
              <w:rPr>
                <w:rFonts w:hint="eastAsia" w:ascii="宋体" w:hAnsi="宋体" w:eastAsia="宋体" w:cs="宋体"/>
                <w:color w:val="333333"/>
                <w:sz w:val="24"/>
                <w:szCs w:val="24"/>
              </w:rPr>
              <w:tab/>
            </w:r>
            <w:r>
              <w:rPr>
                <w:rFonts w:hint="eastAsia" w:ascii="宋体" w:hAnsi="宋体" w:eastAsia="宋体" w:cs="宋体"/>
                <w:color w:val="333333"/>
                <w:sz w:val="24"/>
                <w:szCs w:val="24"/>
              </w:rPr>
              <w:fldChar w:fldCharType="end"/>
            </w:r>
          </w:p>
          <w:p w14:paraId="7B88A6F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rFonts w:hint="eastAsia"/>
                <w:color w:val="333333"/>
                <w:sz w:val="24"/>
                <w:szCs w:val="24"/>
              </w:rPr>
            </w:pPr>
            <w:r>
              <w:rPr>
                <w:rFonts w:hint="eastAsia"/>
                <w:color w:val="333333"/>
                <w:sz w:val="24"/>
                <w:szCs w:val="24"/>
              </w:rPr>
              <w:t>入院登记时取人员信息</w:t>
            </w:r>
          </w:p>
          <w:p w14:paraId="30C3F5A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rFonts w:hint="eastAsia"/>
                <w:color w:val="333333"/>
                <w:sz w:val="24"/>
                <w:szCs w:val="24"/>
              </w:rPr>
            </w:pPr>
            <w:r>
              <w:rPr>
                <w:rFonts w:hint="eastAsia"/>
                <w:color w:val="333333"/>
                <w:sz w:val="24"/>
                <w:szCs w:val="24"/>
              </w:rPr>
              <w:t>入院登记</w:t>
            </w:r>
          </w:p>
          <w:p w14:paraId="71F4440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rFonts w:hint="eastAsia"/>
                <w:color w:val="333333"/>
                <w:sz w:val="24"/>
                <w:szCs w:val="24"/>
              </w:rPr>
            </w:pPr>
            <w:r>
              <w:rPr>
                <w:rFonts w:hint="eastAsia"/>
                <w:color w:val="333333"/>
                <w:sz w:val="24"/>
                <w:szCs w:val="24"/>
              </w:rPr>
              <w:t>入院登记后取业务信息</w:t>
            </w:r>
          </w:p>
          <w:p w14:paraId="22D4A36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rFonts w:hint="eastAsia"/>
                <w:color w:val="333333"/>
                <w:sz w:val="24"/>
                <w:szCs w:val="24"/>
              </w:rPr>
            </w:pPr>
            <w:r>
              <w:rPr>
                <w:rFonts w:hint="eastAsia"/>
                <w:color w:val="333333"/>
                <w:sz w:val="24"/>
                <w:szCs w:val="24"/>
              </w:rPr>
              <w:t>校验并保存费用信息</w:t>
            </w:r>
          </w:p>
          <w:p w14:paraId="1116131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rFonts w:hint="eastAsia"/>
                <w:color w:val="333333"/>
                <w:sz w:val="24"/>
                <w:szCs w:val="24"/>
              </w:rPr>
            </w:pPr>
            <w:r>
              <w:rPr>
                <w:rFonts w:hint="eastAsia"/>
                <w:color w:val="333333"/>
                <w:sz w:val="24"/>
                <w:szCs w:val="24"/>
              </w:rPr>
              <w:t>校验并计算费用信息</w:t>
            </w:r>
          </w:p>
          <w:p w14:paraId="792CED4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rFonts w:hint="eastAsia"/>
                <w:color w:val="333333"/>
                <w:sz w:val="24"/>
                <w:szCs w:val="24"/>
              </w:rPr>
            </w:pPr>
            <w:r>
              <w:rPr>
                <w:rFonts w:hint="eastAsia"/>
                <w:color w:val="333333"/>
                <w:sz w:val="24"/>
                <w:szCs w:val="24"/>
              </w:rPr>
              <w:t>出院登记</w:t>
            </w:r>
          </w:p>
          <w:p w14:paraId="6D67AD3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rFonts w:hint="eastAsia"/>
                <w:color w:val="333333"/>
                <w:sz w:val="24"/>
                <w:szCs w:val="24"/>
              </w:rPr>
            </w:pPr>
            <w:r>
              <w:rPr>
                <w:rFonts w:hint="eastAsia"/>
                <w:color w:val="333333"/>
                <w:sz w:val="24"/>
                <w:szCs w:val="24"/>
              </w:rPr>
              <w:t>出院结算</w:t>
            </w:r>
          </w:p>
          <w:p w14:paraId="798D8D0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rFonts w:hint="eastAsia"/>
                <w:color w:val="333333"/>
                <w:sz w:val="24"/>
                <w:szCs w:val="24"/>
              </w:rPr>
            </w:pPr>
            <w:r>
              <w:rPr>
                <w:rFonts w:hint="eastAsia"/>
                <w:color w:val="333333"/>
                <w:sz w:val="24"/>
                <w:szCs w:val="24"/>
              </w:rPr>
              <w:t>入院登记信息修改</w:t>
            </w:r>
          </w:p>
          <w:p w14:paraId="544FADF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rFonts w:hint="eastAsia"/>
                <w:color w:val="333333"/>
                <w:sz w:val="24"/>
                <w:szCs w:val="24"/>
              </w:rPr>
            </w:pPr>
            <w:r>
              <w:rPr>
                <w:rFonts w:hint="eastAsia"/>
                <w:color w:val="333333"/>
                <w:sz w:val="24"/>
                <w:szCs w:val="24"/>
              </w:rPr>
              <w:t>取消入院登记</w:t>
            </w:r>
          </w:p>
          <w:p w14:paraId="1CB1195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rFonts w:hint="eastAsia"/>
                <w:color w:val="333333"/>
                <w:sz w:val="24"/>
                <w:szCs w:val="24"/>
              </w:rPr>
            </w:pPr>
            <w:r>
              <w:rPr>
                <w:rFonts w:hint="eastAsia"/>
                <w:color w:val="333333"/>
                <w:sz w:val="24"/>
                <w:szCs w:val="24"/>
              </w:rPr>
              <w:t>取消出院登记</w:t>
            </w:r>
          </w:p>
          <w:p w14:paraId="625794A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rFonts w:hint="eastAsia"/>
                <w:color w:val="333333"/>
                <w:sz w:val="24"/>
                <w:szCs w:val="24"/>
              </w:rPr>
            </w:pPr>
            <w:r>
              <w:rPr>
                <w:rFonts w:hint="eastAsia"/>
                <w:color w:val="333333"/>
                <w:sz w:val="24"/>
                <w:szCs w:val="24"/>
              </w:rPr>
              <w:t>删除住院业务费用明细</w:t>
            </w:r>
          </w:p>
          <w:p w14:paraId="22C3D6D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rFonts w:hint="eastAsia"/>
                <w:color w:val="333333"/>
                <w:sz w:val="24"/>
                <w:szCs w:val="24"/>
              </w:rPr>
            </w:pPr>
            <w:r>
              <w:rPr>
                <w:rFonts w:hint="eastAsia"/>
                <w:color w:val="333333"/>
                <w:sz w:val="24"/>
                <w:szCs w:val="24"/>
              </w:rPr>
              <w:t>取消出院结算</w:t>
            </w:r>
          </w:p>
          <w:p w14:paraId="1897B8D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rFonts w:hint="eastAsia"/>
                <w:color w:val="333333"/>
                <w:sz w:val="24"/>
                <w:szCs w:val="24"/>
              </w:rPr>
            </w:pPr>
            <w:r>
              <w:rPr>
                <w:rFonts w:hint="eastAsia"/>
                <w:color w:val="333333"/>
                <w:sz w:val="24"/>
                <w:szCs w:val="24"/>
              </w:rPr>
              <w:t>结算信息提取</w:t>
            </w:r>
          </w:p>
          <w:p w14:paraId="6DFEF17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color w:val="333333"/>
                <w:sz w:val="24"/>
                <w:szCs w:val="24"/>
              </w:rPr>
            </w:pPr>
            <w:r>
              <w:rPr>
                <w:rFonts w:hint="eastAsia"/>
                <w:color w:val="333333"/>
                <w:sz w:val="24"/>
                <w:szCs w:val="24"/>
              </w:rPr>
              <w:t>费用清单信息提取</w:t>
            </w:r>
          </w:p>
        </w:tc>
      </w:tr>
      <w:tr w14:paraId="3F13D241">
        <w:tblPrEx>
          <w:tblBorders>
            <w:top w:val="single" w:color="EEEEEE" w:sz="2" w:space="0"/>
            <w:left w:val="single" w:color="EEEEEE" w:sz="2"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blCellSpacing w:w="0" w:type="dxa"/>
        </w:trPr>
        <w:tc>
          <w:tcPr>
            <w:tcW w:w="2068" w:type="dxa"/>
            <w:vMerge w:val="continue"/>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center"/>
          </w:tcPr>
          <w:p w14:paraId="5B09A2EC">
            <w:pPr>
              <w:rPr>
                <w:rFonts w:hint="eastAsia" w:ascii="宋体"/>
                <w:sz w:val="24"/>
                <w:szCs w:val="24"/>
              </w:rPr>
            </w:pPr>
          </w:p>
        </w:tc>
        <w:tc>
          <w:tcPr>
            <w:tcW w:w="6199" w:type="dxa"/>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center"/>
          </w:tcPr>
          <w:p w14:paraId="28A240C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color w:val="333333"/>
                <w:sz w:val="24"/>
                <w:szCs w:val="24"/>
              </w:rPr>
            </w:pPr>
            <w:r>
              <w:rPr>
                <w:rFonts w:hint="eastAsia" w:ascii="宋体" w:hAnsi="宋体" w:eastAsia="宋体" w:cs="宋体"/>
                <w:color w:val="333333"/>
                <w:sz w:val="24"/>
                <w:szCs w:val="24"/>
              </w:rPr>
              <w:t>登记(挂号)撤销</w:t>
            </w:r>
          </w:p>
        </w:tc>
      </w:tr>
      <w:tr w14:paraId="20406CA5">
        <w:tblPrEx>
          <w:tblBorders>
            <w:top w:val="single" w:color="EEEEEE" w:sz="2" w:space="0"/>
            <w:left w:val="single" w:color="EEEEEE" w:sz="2"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blCellSpacing w:w="0" w:type="dxa"/>
        </w:trPr>
        <w:tc>
          <w:tcPr>
            <w:tcW w:w="2068" w:type="dxa"/>
            <w:vMerge w:val="continue"/>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center"/>
          </w:tcPr>
          <w:p w14:paraId="0A5B1024">
            <w:pPr>
              <w:rPr>
                <w:rFonts w:hint="eastAsia" w:ascii="宋体"/>
                <w:sz w:val="24"/>
                <w:szCs w:val="24"/>
              </w:rPr>
            </w:pPr>
          </w:p>
        </w:tc>
        <w:tc>
          <w:tcPr>
            <w:tcW w:w="6199" w:type="dxa"/>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center"/>
          </w:tcPr>
          <w:p w14:paraId="7F6AE45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t>病案信息上传</w:t>
            </w:r>
          </w:p>
          <w:p w14:paraId="0C296FC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t>住院病人信息（病案首页）录入</w:t>
            </w:r>
            <w:r>
              <w:rPr>
                <w:rFonts w:hint="eastAsia" w:ascii="宋体" w:hAnsi="宋体" w:eastAsia="宋体" w:cs="宋体"/>
                <w:color w:val="333333"/>
                <w:sz w:val="24"/>
                <w:szCs w:val="24"/>
              </w:rPr>
              <w:tab/>
            </w:r>
          </w:p>
          <w:p w14:paraId="52A84D3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t>住院病人诊断信息（病案首页）录入</w:t>
            </w:r>
            <w:r>
              <w:rPr>
                <w:rFonts w:hint="eastAsia" w:ascii="宋体" w:hAnsi="宋体" w:eastAsia="宋体" w:cs="宋体"/>
                <w:color w:val="333333"/>
                <w:sz w:val="24"/>
                <w:szCs w:val="24"/>
              </w:rPr>
              <w:tab/>
            </w:r>
          </w:p>
          <w:p w14:paraId="70C5986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t>住院病人手术信息（病案首页）录入</w:t>
            </w:r>
            <w:r>
              <w:rPr>
                <w:rFonts w:hint="eastAsia" w:ascii="宋体" w:hAnsi="宋体" w:eastAsia="宋体" w:cs="宋体"/>
                <w:color w:val="333333"/>
                <w:sz w:val="24"/>
                <w:szCs w:val="24"/>
              </w:rPr>
              <w:tab/>
            </w:r>
          </w:p>
          <w:p w14:paraId="344BC36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t>住院病人产科分娩婴儿信息（病案首页）录入</w:t>
            </w:r>
          </w:p>
          <w:p w14:paraId="5CDD779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t>肿瘤专科病人治疗记录信息（病案首页）录入</w:t>
            </w:r>
          </w:p>
          <w:p w14:paraId="3F89E8E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color w:val="333333"/>
                <w:sz w:val="24"/>
                <w:szCs w:val="24"/>
              </w:rPr>
            </w:pPr>
            <w:r>
              <w:rPr>
                <w:rFonts w:hint="eastAsia" w:ascii="宋体" w:hAnsi="宋体" w:eastAsia="宋体" w:cs="宋体"/>
                <w:color w:val="333333"/>
                <w:sz w:val="24"/>
                <w:szCs w:val="24"/>
              </w:rPr>
              <w:t>出院小结（出院记录）录入</w:t>
            </w:r>
          </w:p>
        </w:tc>
      </w:tr>
      <w:tr w14:paraId="51E58728">
        <w:tblPrEx>
          <w:tblBorders>
            <w:top w:val="single" w:color="EEEEEE" w:sz="2" w:space="0"/>
            <w:left w:val="single" w:color="EEEEEE" w:sz="2"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blCellSpacing w:w="0" w:type="dxa"/>
        </w:trPr>
        <w:tc>
          <w:tcPr>
            <w:tcW w:w="2068" w:type="dxa"/>
            <w:vMerge w:val="continue"/>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center"/>
          </w:tcPr>
          <w:p w14:paraId="05D563C8">
            <w:pPr>
              <w:rPr>
                <w:rFonts w:hint="eastAsia" w:ascii="宋体"/>
                <w:sz w:val="24"/>
                <w:szCs w:val="24"/>
              </w:rPr>
            </w:pPr>
          </w:p>
        </w:tc>
        <w:tc>
          <w:tcPr>
            <w:tcW w:w="6199" w:type="dxa"/>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center"/>
          </w:tcPr>
          <w:p w14:paraId="46594B5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t>其他信息接口</w:t>
            </w:r>
          </w:p>
          <w:p w14:paraId="6EEA645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t>累计查询接口</w:t>
            </w:r>
          </w:p>
          <w:p w14:paraId="4C0C931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t>基金状态查询接口</w:t>
            </w:r>
          </w:p>
          <w:p w14:paraId="161A384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113" w:afterAutospacing="0" w:line="180" w:lineRule="atLeast"/>
              <w:ind w:left="0" w:right="0"/>
              <w:rPr>
                <w:color w:val="333333"/>
                <w:sz w:val="24"/>
                <w:szCs w:val="24"/>
              </w:rPr>
            </w:pPr>
            <w:r>
              <w:rPr>
                <w:rFonts w:hint="eastAsia" w:ascii="宋体" w:hAnsi="宋体" w:eastAsia="宋体" w:cs="宋体"/>
                <w:color w:val="333333"/>
                <w:sz w:val="24"/>
                <w:szCs w:val="24"/>
              </w:rPr>
              <w:t>码表服务接口</w:t>
            </w:r>
          </w:p>
        </w:tc>
      </w:tr>
    </w:tbl>
    <w:p w14:paraId="6B1C8689">
      <w:pPr>
        <w:pStyle w:val="10"/>
        <w:numPr>
          <w:ilvl w:val="0"/>
          <w:numId w:val="2"/>
        </w:numPr>
        <w:tabs>
          <w:tab w:val="left" w:pos="540"/>
        </w:tabs>
        <w:adjustRightInd w:val="0"/>
        <w:snapToGrid w:val="0"/>
        <w:spacing w:line="440" w:lineRule="exact"/>
        <w:rPr>
          <w:rFonts w:hint="eastAsia" w:ascii="宋体" w:hAnsi="宋体" w:eastAsia="宋体" w:cs="宋体"/>
          <w:b/>
          <w:bCs/>
          <w:sz w:val="24"/>
          <w:szCs w:val="24"/>
          <w:highlight w:val="none"/>
        </w:rPr>
      </w:pPr>
      <w:r>
        <w:rPr>
          <w:rFonts w:hint="eastAsia" w:hAnsi="宋体" w:cs="宋体"/>
          <w:b/>
          <w:bCs/>
          <w:sz w:val="24"/>
          <w:szCs w:val="24"/>
          <w:highlight w:val="none"/>
          <w:lang w:val="en-US" w:eastAsia="zh-CN"/>
        </w:rPr>
        <w:t>服务要求</w:t>
      </w:r>
    </w:p>
    <w:p w14:paraId="11914430">
      <w:pPr>
        <w:pStyle w:val="10"/>
        <w:numPr>
          <w:ilvl w:val="0"/>
          <w:numId w:val="6"/>
        </w:numPr>
        <w:tabs>
          <w:tab w:val="left" w:pos="540"/>
        </w:tabs>
        <w:adjustRightInd w:val="0"/>
        <w:snapToGrid w:val="0"/>
        <w:spacing w:line="440" w:lineRule="exact"/>
        <w:ind w:left="0" w:firstLine="0"/>
        <w:rPr>
          <w:rFonts w:hint="eastAsia" w:hAnsi="宋体" w:cs="宋体"/>
          <w:b/>
          <w:bCs/>
          <w:sz w:val="24"/>
          <w:szCs w:val="24"/>
          <w:highlight w:val="none"/>
        </w:rPr>
      </w:pPr>
      <w:r>
        <w:rPr>
          <w:rFonts w:hint="eastAsia" w:hAnsi="宋体" w:cs="宋体"/>
          <w:b/>
          <w:bCs/>
          <w:sz w:val="24"/>
          <w:szCs w:val="24"/>
          <w:highlight w:val="none"/>
        </w:rPr>
        <w:t>实施要求</w:t>
      </w:r>
    </w:p>
    <w:p w14:paraId="2E6C79D7">
      <w:pPr>
        <w:pStyle w:val="10"/>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lang w:eastAsia="zh-CN"/>
        </w:rPr>
        <w:t>1、</w:t>
      </w:r>
      <w:r>
        <w:rPr>
          <w:rFonts w:hint="eastAsia" w:hAnsi="宋体" w:cs="宋体"/>
          <w:b w:val="0"/>
          <w:bCs w:val="0"/>
          <w:sz w:val="24"/>
          <w:szCs w:val="24"/>
          <w:highlight w:val="none"/>
        </w:rPr>
        <w:t>项目人员要求：功能建设阶段按要求派驻项目服务人员，项目服务人员具有同类大型项目成功实施经验，熟悉本项目建设过程和运行情况，并且明确提供具体角色对应人员名单、简历。</w:t>
      </w:r>
    </w:p>
    <w:p w14:paraId="793501DE">
      <w:pPr>
        <w:pStyle w:val="10"/>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（1）项目经理，全面负责项目实施的组织、领导、协调和控制，对项目的进度、质量以及安全全面负责。</w:t>
      </w:r>
    </w:p>
    <w:p w14:paraId="6F4274DB">
      <w:pPr>
        <w:pStyle w:val="10"/>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（2）项目实施人员，负责项目部署、测试、培训和上线工作。</w:t>
      </w:r>
    </w:p>
    <w:p w14:paraId="31F2EF97">
      <w:pPr>
        <w:pStyle w:val="10"/>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lang w:eastAsia="zh-CN"/>
        </w:rPr>
        <w:t>2、</w:t>
      </w:r>
      <w:r>
        <w:rPr>
          <w:rFonts w:hint="eastAsia" w:hAnsi="宋体" w:cs="宋体"/>
          <w:b w:val="0"/>
          <w:bCs w:val="0"/>
          <w:sz w:val="24"/>
          <w:szCs w:val="24"/>
          <w:highlight w:val="none"/>
        </w:rPr>
        <w:t>系统供应商应具有健全的项目管理制度和流程，以及合格的项目实施人员，对本项目建设进行全过程质量管理，确保项目实施的顺利。</w:t>
      </w:r>
    </w:p>
    <w:p w14:paraId="5F3225B0">
      <w:pPr>
        <w:pStyle w:val="10"/>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lang w:val="en-US" w:eastAsia="zh-CN"/>
        </w:rPr>
        <w:t>3、</w:t>
      </w:r>
      <w:r>
        <w:rPr>
          <w:rFonts w:hint="eastAsia" w:hAnsi="宋体" w:cs="宋体"/>
          <w:b w:val="0"/>
          <w:bCs w:val="0"/>
          <w:sz w:val="24"/>
          <w:szCs w:val="24"/>
          <w:highlight w:val="none"/>
        </w:rPr>
        <w:t>项目实施进度要求及控制：要求系统供应商根据项目建设单位的实际情况，科学合理的定出项目集成实施的时间进度安排；对项目实施的进度计划及控制中各阶段中系统供应商所要做的工作及保障措施做出详细安排。</w:t>
      </w:r>
    </w:p>
    <w:p w14:paraId="413078EA">
      <w:pPr>
        <w:pStyle w:val="10"/>
        <w:numPr>
          <w:ilvl w:val="0"/>
          <w:numId w:val="6"/>
        </w:numPr>
        <w:tabs>
          <w:tab w:val="left" w:pos="540"/>
        </w:tabs>
        <w:adjustRightInd w:val="0"/>
        <w:snapToGrid w:val="0"/>
        <w:spacing w:line="440" w:lineRule="exact"/>
        <w:ind w:left="0" w:firstLine="0" w:firstLineChars="0"/>
        <w:rPr>
          <w:rFonts w:hint="eastAsia" w:hAnsi="宋体" w:cs="宋体"/>
          <w:b/>
          <w:bCs/>
          <w:sz w:val="24"/>
          <w:szCs w:val="24"/>
          <w:highlight w:val="none"/>
          <w:lang w:val="en-US" w:eastAsia="zh-CN"/>
        </w:rPr>
      </w:pPr>
      <w:r>
        <w:rPr>
          <w:rFonts w:hint="eastAsia" w:hAnsi="宋体" w:cs="宋体"/>
          <w:b/>
          <w:bCs/>
          <w:sz w:val="24"/>
          <w:szCs w:val="24"/>
          <w:highlight w:val="none"/>
          <w:lang w:val="en-US" w:eastAsia="zh-CN"/>
        </w:rPr>
        <w:t>培训要求</w:t>
      </w:r>
    </w:p>
    <w:p w14:paraId="2C7C897B">
      <w:pPr>
        <w:pStyle w:val="10"/>
        <w:numPr>
          <w:ilvl w:val="-1"/>
          <w:numId w:val="0"/>
        </w:numPr>
        <w:tabs>
          <w:tab w:val="left" w:pos="540"/>
        </w:tabs>
        <w:adjustRightInd w:val="0"/>
        <w:snapToGrid w:val="0"/>
        <w:spacing w:line="440" w:lineRule="exact"/>
        <w:ind w:left="0" w:firstLine="480" w:firstLineChars="200"/>
        <w:rPr>
          <w:rFonts w:hint="default" w:hAnsi="宋体" w:cs="宋体"/>
          <w:b w:val="0"/>
          <w:bCs w:val="0"/>
          <w:sz w:val="24"/>
          <w:szCs w:val="24"/>
          <w:highlight w:val="none"/>
        </w:rPr>
      </w:pPr>
      <w:r>
        <w:rPr>
          <w:rFonts w:hint="default" w:hAnsi="宋体" w:cs="宋体"/>
          <w:b w:val="0"/>
          <w:bCs w:val="0"/>
          <w:sz w:val="24"/>
          <w:szCs w:val="24"/>
          <w:highlight w:val="none"/>
        </w:rPr>
        <w:t>1、对与本项目的相关技术，系统供应商也需要提供必要的手段保证能够将其传授与采购人。与培训相关的费用，系统供应商应当一并计算在投标报价中。</w:t>
      </w:r>
    </w:p>
    <w:p w14:paraId="2A4165C7">
      <w:pPr>
        <w:pStyle w:val="10"/>
        <w:numPr>
          <w:ilvl w:val="-1"/>
          <w:numId w:val="0"/>
        </w:numPr>
        <w:tabs>
          <w:tab w:val="left" w:pos="540"/>
        </w:tabs>
        <w:adjustRightInd w:val="0"/>
        <w:snapToGrid w:val="0"/>
        <w:spacing w:line="440" w:lineRule="exact"/>
        <w:ind w:left="0" w:firstLine="480" w:firstLineChars="200"/>
        <w:rPr>
          <w:rFonts w:hint="default" w:hAnsi="宋体" w:cs="宋体"/>
          <w:b w:val="0"/>
          <w:bCs w:val="0"/>
          <w:sz w:val="24"/>
          <w:szCs w:val="24"/>
          <w:highlight w:val="none"/>
        </w:rPr>
      </w:pPr>
      <w:r>
        <w:rPr>
          <w:rFonts w:hint="eastAsia" w:hAnsi="宋体" w:cs="宋体"/>
          <w:b w:val="0"/>
          <w:bCs w:val="0"/>
          <w:sz w:val="24"/>
          <w:szCs w:val="24"/>
          <w:highlight w:val="none"/>
          <w:lang w:val="en-US" w:eastAsia="zh-CN"/>
        </w:rPr>
        <w:t>2、</w:t>
      </w:r>
      <w:r>
        <w:rPr>
          <w:rFonts w:hint="default" w:hAnsi="宋体" w:cs="宋体"/>
          <w:b w:val="0"/>
          <w:bCs w:val="0"/>
          <w:sz w:val="24"/>
          <w:szCs w:val="24"/>
          <w:highlight w:val="none"/>
        </w:rPr>
        <w:t>为了让用户单位人员更好地对系统进行管理和维护，系统供应商需对相关技术人员和管理专家进行全面的培训，使之在各个层次上掌握应用软件系统的操作、系统配置、运营、故障处理及日常测试维护，从而确保系统能正常安全的运行。</w:t>
      </w:r>
    </w:p>
    <w:p w14:paraId="074C7CB7">
      <w:pPr>
        <w:pStyle w:val="10"/>
        <w:numPr>
          <w:ilvl w:val="0"/>
          <w:numId w:val="6"/>
        </w:numPr>
        <w:tabs>
          <w:tab w:val="left" w:pos="540"/>
        </w:tabs>
        <w:adjustRightInd w:val="0"/>
        <w:snapToGrid w:val="0"/>
        <w:spacing w:line="440" w:lineRule="exact"/>
        <w:ind w:left="0" w:firstLine="0" w:firstLineChars="0"/>
        <w:rPr>
          <w:rFonts w:hint="default" w:hAnsi="宋体" w:cs="宋体"/>
          <w:b/>
          <w:bCs/>
          <w:sz w:val="24"/>
          <w:szCs w:val="24"/>
          <w:highlight w:val="none"/>
        </w:rPr>
      </w:pPr>
      <w:r>
        <w:rPr>
          <w:rFonts w:hint="default" w:hAnsi="宋体" w:cs="宋体"/>
          <w:b/>
          <w:bCs/>
          <w:sz w:val="24"/>
          <w:szCs w:val="24"/>
          <w:highlight w:val="none"/>
        </w:rPr>
        <w:t>验收要求</w:t>
      </w:r>
    </w:p>
    <w:p w14:paraId="19EDEB5F">
      <w:pPr>
        <w:pStyle w:val="10"/>
        <w:numPr>
          <w:ilvl w:val="-1"/>
          <w:numId w:val="0"/>
        </w:numPr>
        <w:tabs>
          <w:tab w:val="left" w:pos="540"/>
        </w:tabs>
        <w:adjustRightInd w:val="0"/>
        <w:snapToGrid w:val="0"/>
        <w:spacing w:line="440" w:lineRule="exact"/>
        <w:ind w:left="0" w:firstLine="480" w:firstLineChars="200"/>
        <w:rPr>
          <w:rFonts w:hint="default" w:hAnsi="宋体" w:cs="宋体"/>
          <w:b w:val="0"/>
          <w:bCs w:val="0"/>
          <w:sz w:val="24"/>
          <w:szCs w:val="24"/>
          <w:highlight w:val="none"/>
        </w:rPr>
      </w:pPr>
      <w:r>
        <w:rPr>
          <w:rFonts w:hint="default" w:hAnsi="宋体" w:cs="宋体"/>
          <w:b w:val="0"/>
          <w:bCs w:val="0"/>
          <w:sz w:val="24"/>
          <w:szCs w:val="24"/>
          <w:highlight w:val="none"/>
        </w:rPr>
        <w:t>1、系统供应商交货前应对产品作出全面检查和对验收文件进行整理，并列出清单，作为医院收货验收和使用的技术条件依据，检验的结果应随货物交院方。</w:t>
      </w:r>
    </w:p>
    <w:p w14:paraId="05F63115">
      <w:pPr>
        <w:pStyle w:val="10"/>
        <w:numPr>
          <w:ilvl w:val="-1"/>
          <w:numId w:val="0"/>
        </w:numPr>
        <w:tabs>
          <w:tab w:val="left" w:pos="540"/>
        </w:tabs>
        <w:adjustRightInd w:val="0"/>
        <w:snapToGrid w:val="0"/>
        <w:spacing w:line="440" w:lineRule="exact"/>
        <w:ind w:left="0" w:firstLine="480" w:firstLineChars="200"/>
        <w:rPr>
          <w:rFonts w:hint="default" w:hAnsi="宋体" w:cs="宋体"/>
          <w:b w:val="0"/>
          <w:bCs w:val="0"/>
          <w:sz w:val="24"/>
          <w:szCs w:val="24"/>
          <w:highlight w:val="none"/>
        </w:rPr>
      </w:pPr>
      <w:r>
        <w:rPr>
          <w:rFonts w:hint="default" w:hAnsi="宋体" w:cs="宋体"/>
          <w:b w:val="0"/>
          <w:bCs w:val="0"/>
          <w:sz w:val="24"/>
          <w:szCs w:val="24"/>
          <w:highlight w:val="none"/>
        </w:rPr>
        <w:t>2、验收完毕后作出验收结果报告；验收相关费用由系统供应商负责。</w:t>
      </w:r>
    </w:p>
    <w:p w14:paraId="64F8DD0A">
      <w:pPr>
        <w:pStyle w:val="10"/>
        <w:numPr>
          <w:ilvl w:val="-1"/>
          <w:numId w:val="0"/>
        </w:numPr>
        <w:tabs>
          <w:tab w:val="left" w:pos="540"/>
        </w:tabs>
        <w:adjustRightInd w:val="0"/>
        <w:snapToGrid w:val="0"/>
        <w:spacing w:line="440" w:lineRule="exact"/>
        <w:ind w:left="0" w:firstLine="480" w:firstLineChars="200"/>
        <w:rPr>
          <w:rFonts w:hint="default" w:hAnsi="宋体" w:cs="宋体"/>
          <w:b w:val="0"/>
          <w:bCs w:val="0"/>
          <w:sz w:val="24"/>
          <w:szCs w:val="24"/>
          <w:highlight w:val="none"/>
        </w:rPr>
      </w:pPr>
      <w:r>
        <w:rPr>
          <w:rFonts w:hint="default" w:hAnsi="宋体" w:cs="宋体"/>
          <w:b w:val="0"/>
          <w:bCs w:val="0"/>
          <w:sz w:val="24"/>
          <w:szCs w:val="24"/>
          <w:highlight w:val="none"/>
        </w:rPr>
        <w:t>3、采购人及医院是根据系统供应商所响应的所有项目进行整体验收，如系统供应商未能兑现任一项目，采购人及医院有权视整个项目验收不符合要求。</w:t>
      </w:r>
    </w:p>
    <w:p w14:paraId="0FED6076">
      <w:pPr>
        <w:pStyle w:val="10"/>
        <w:numPr>
          <w:ilvl w:val="-1"/>
          <w:numId w:val="0"/>
        </w:numPr>
        <w:tabs>
          <w:tab w:val="left" w:pos="540"/>
        </w:tabs>
        <w:adjustRightInd w:val="0"/>
        <w:snapToGrid w:val="0"/>
        <w:spacing w:line="440" w:lineRule="exact"/>
        <w:ind w:left="0" w:firstLine="480" w:firstLineChars="200"/>
        <w:rPr>
          <w:rFonts w:hint="default" w:hAnsi="宋体" w:cs="宋体"/>
          <w:b w:val="0"/>
          <w:bCs w:val="0"/>
          <w:sz w:val="24"/>
          <w:szCs w:val="24"/>
          <w:highlight w:val="none"/>
        </w:rPr>
      </w:pPr>
      <w:r>
        <w:rPr>
          <w:rFonts w:hint="default" w:hAnsi="宋体" w:cs="宋体"/>
          <w:b w:val="0"/>
          <w:bCs w:val="0"/>
          <w:sz w:val="24"/>
          <w:szCs w:val="24"/>
          <w:highlight w:val="none"/>
        </w:rPr>
        <w:t>项目的工作内容及成果文档的提交应覆盖以下内容，电子文档是成果不可分割的部分，包括系统上线报告、系统操作说明书、接口方案、系统实施确认书、项目验收报告。</w:t>
      </w:r>
    </w:p>
    <w:p w14:paraId="02FCDE7E">
      <w:pPr>
        <w:pStyle w:val="10"/>
        <w:numPr>
          <w:ilvl w:val="0"/>
          <w:numId w:val="6"/>
        </w:numPr>
        <w:tabs>
          <w:tab w:val="left" w:pos="540"/>
        </w:tabs>
        <w:adjustRightInd w:val="0"/>
        <w:snapToGrid w:val="0"/>
        <w:spacing w:line="440" w:lineRule="exact"/>
        <w:ind w:left="0" w:firstLine="0" w:firstLineChars="0"/>
        <w:rPr>
          <w:rFonts w:hint="default" w:hAnsi="宋体" w:cs="宋体"/>
          <w:b/>
          <w:bCs/>
          <w:sz w:val="24"/>
          <w:szCs w:val="24"/>
          <w:highlight w:val="none"/>
        </w:rPr>
      </w:pPr>
      <w:r>
        <w:rPr>
          <w:rFonts w:hint="default" w:hAnsi="宋体" w:cs="宋体"/>
          <w:b/>
          <w:bCs/>
          <w:sz w:val="24"/>
          <w:szCs w:val="24"/>
          <w:highlight w:val="none"/>
        </w:rPr>
        <w:t>售后服务要求</w:t>
      </w:r>
    </w:p>
    <w:p w14:paraId="7932E29E">
      <w:pPr>
        <w:pStyle w:val="10"/>
        <w:numPr>
          <w:ilvl w:val="-1"/>
          <w:numId w:val="0"/>
        </w:numPr>
        <w:tabs>
          <w:tab w:val="left" w:pos="540"/>
        </w:tabs>
        <w:adjustRightInd w:val="0"/>
        <w:snapToGrid w:val="0"/>
        <w:spacing w:line="440" w:lineRule="exact"/>
        <w:ind w:left="0" w:firstLine="480" w:firstLineChars="200"/>
        <w:rPr>
          <w:rFonts w:hint="default" w:hAnsi="宋体" w:cs="宋体"/>
          <w:b w:val="0"/>
          <w:bCs w:val="0"/>
          <w:sz w:val="24"/>
          <w:szCs w:val="24"/>
          <w:highlight w:val="none"/>
        </w:rPr>
      </w:pPr>
      <w:r>
        <w:rPr>
          <w:rFonts w:hint="default" w:hAnsi="宋体" w:cs="宋体"/>
          <w:b w:val="0"/>
          <w:bCs w:val="0"/>
          <w:sz w:val="24"/>
          <w:szCs w:val="24"/>
          <w:highlight w:val="none"/>
        </w:rPr>
        <w:t>1、系统供应商应有良好的服务理念和完善的售后服务体系，能够提供本地技术服务。</w:t>
      </w:r>
    </w:p>
    <w:p w14:paraId="47C00A09">
      <w:pPr>
        <w:pStyle w:val="10"/>
        <w:numPr>
          <w:ilvl w:val="-1"/>
          <w:numId w:val="0"/>
        </w:numPr>
        <w:tabs>
          <w:tab w:val="left" w:pos="540"/>
        </w:tabs>
        <w:adjustRightInd w:val="0"/>
        <w:snapToGrid w:val="0"/>
        <w:spacing w:line="440" w:lineRule="exact"/>
        <w:ind w:left="0" w:firstLine="480" w:firstLineChars="200"/>
        <w:rPr>
          <w:rFonts w:hint="default" w:hAnsi="宋体" w:cs="宋体"/>
          <w:b w:val="0"/>
          <w:bCs w:val="0"/>
          <w:sz w:val="24"/>
          <w:szCs w:val="24"/>
          <w:highlight w:val="none"/>
        </w:rPr>
      </w:pPr>
      <w:r>
        <w:rPr>
          <w:rFonts w:hint="default" w:hAnsi="宋体" w:cs="宋体"/>
          <w:b w:val="0"/>
          <w:bCs w:val="0"/>
          <w:sz w:val="24"/>
          <w:szCs w:val="24"/>
          <w:highlight w:val="none"/>
        </w:rPr>
        <w:t>2、提供热线电话、传真和Email等多种途径随时回答与工程有关的技术问题，对存在的问题在24小时内提出解决方案。</w:t>
      </w:r>
    </w:p>
    <w:p w14:paraId="3ADA9D2A">
      <w:pPr>
        <w:pStyle w:val="10"/>
        <w:numPr>
          <w:ilvl w:val="-1"/>
          <w:numId w:val="0"/>
        </w:numPr>
        <w:tabs>
          <w:tab w:val="left" w:pos="540"/>
        </w:tabs>
        <w:adjustRightInd w:val="0"/>
        <w:snapToGrid w:val="0"/>
        <w:spacing w:line="440" w:lineRule="exact"/>
        <w:ind w:left="0" w:firstLine="480" w:firstLineChars="200"/>
        <w:rPr>
          <w:rFonts w:hint="default" w:hAnsi="宋体" w:cs="宋体"/>
          <w:b w:val="0"/>
          <w:bCs w:val="0"/>
          <w:sz w:val="24"/>
          <w:szCs w:val="24"/>
          <w:highlight w:val="none"/>
        </w:rPr>
      </w:pPr>
      <w:r>
        <w:rPr>
          <w:rFonts w:hint="default" w:hAnsi="宋体" w:cs="宋体"/>
          <w:b w:val="0"/>
          <w:bCs w:val="0"/>
          <w:sz w:val="24"/>
          <w:szCs w:val="24"/>
          <w:highlight w:val="none"/>
        </w:rPr>
        <w:t>3、定期跟踪和回访使用情况（每月至少一次），及时了解存在的问题，并随时给予解决。</w:t>
      </w:r>
    </w:p>
    <w:p w14:paraId="694EA71E">
      <w:pPr>
        <w:pStyle w:val="10"/>
        <w:numPr>
          <w:ilvl w:val="-1"/>
          <w:numId w:val="0"/>
        </w:numPr>
        <w:tabs>
          <w:tab w:val="left" w:pos="540"/>
        </w:tabs>
        <w:adjustRightInd w:val="0"/>
        <w:snapToGrid w:val="0"/>
        <w:spacing w:line="440" w:lineRule="exact"/>
        <w:ind w:left="0" w:firstLine="480" w:firstLineChars="200"/>
        <w:rPr>
          <w:rFonts w:hint="default" w:hAnsi="宋体" w:cs="宋体"/>
          <w:b w:val="0"/>
          <w:bCs w:val="0"/>
          <w:sz w:val="24"/>
          <w:szCs w:val="24"/>
          <w:highlight w:val="none"/>
          <w:lang w:val="en-US" w:eastAsia="zh-CN"/>
        </w:rPr>
      </w:pPr>
      <w:r>
        <w:rPr>
          <w:rFonts w:hint="default" w:hAnsi="宋体" w:cs="宋体"/>
          <w:b w:val="0"/>
          <w:bCs w:val="0"/>
          <w:sz w:val="24"/>
          <w:szCs w:val="24"/>
          <w:highlight w:val="none"/>
        </w:rPr>
        <w:t>4、针对本项目，提出完整而切实可行的服务方案。其中，至少应提供7×24小时热线电话、远程网络等服务方式。热线电话和远程网络提供技术咨询和即时服务，1小时内给予明确的响应并解决；排解重大故障，应在接到医院服务请求后2小时内解决。</w:t>
      </w:r>
    </w:p>
    <w:p w14:paraId="4A9E9D42">
      <w:pPr>
        <w:pStyle w:val="10"/>
        <w:numPr>
          <w:ilvl w:val="0"/>
          <w:numId w:val="2"/>
        </w:numPr>
        <w:tabs>
          <w:tab w:val="left" w:pos="540"/>
        </w:tabs>
        <w:adjustRightInd w:val="0"/>
        <w:snapToGrid w:val="0"/>
        <w:rPr>
          <w:rFonts w:hint="eastAsia" w:ascii="宋体" w:hAnsi="宋体" w:eastAsia="宋体" w:cs="宋体"/>
          <w:sz w:val="24"/>
          <w:szCs w:val="24"/>
          <w:highlight w:val="none"/>
        </w:rPr>
      </w:pPr>
      <w:r>
        <w:rPr>
          <w:rFonts w:hint="eastAsia" w:ascii="宋体" w:hAnsi="宋体" w:eastAsia="宋体" w:cs="宋体"/>
          <w:b/>
          <w:bCs/>
          <w:sz w:val="24"/>
          <w:szCs w:val="24"/>
          <w:highlight w:val="none"/>
        </w:rPr>
        <w:t>商务要求</w:t>
      </w:r>
    </w:p>
    <w:p w14:paraId="7F483260">
      <w:pPr>
        <w:pStyle w:val="23"/>
        <w:numPr>
          <w:ilvl w:val="0"/>
          <w:numId w:val="7"/>
        </w:numPr>
        <w:spacing w:line="440" w:lineRule="exact"/>
        <w:ind w:firstLine="0"/>
        <w:rPr>
          <w:rFonts w:hint="eastAsia" w:ascii="宋体" w:hAnsi="宋体" w:eastAsia="宋体" w:cs="宋体"/>
          <w:sz w:val="24"/>
          <w:szCs w:val="24"/>
          <w:highlight w:val="none"/>
        </w:rPr>
      </w:pPr>
      <w:r>
        <w:rPr>
          <w:rFonts w:hint="eastAsia" w:ascii="宋体" w:hAnsi="宋体" w:cs="宋体"/>
          <w:sz w:val="24"/>
          <w:szCs w:val="24"/>
          <w:highlight w:val="none"/>
        </w:rPr>
        <w:t>建设工期：自合同签订之日起</w:t>
      </w:r>
      <w:r>
        <w:rPr>
          <w:rFonts w:hint="eastAsia" w:ascii="宋体" w:hAnsi="宋体" w:cs="宋体"/>
          <w:sz w:val="24"/>
          <w:szCs w:val="24"/>
          <w:highlight w:val="none"/>
          <w:lang w:val="en-US" w:eastAsia="zh-CN"/>
        </w:rPr>
        <w:t>3</w:t>
      </w:r>
      <w:r>
        <w:rPr>
          <w:rFonts w:hint="eastAsia" w:ascii="宋体" w:hAnsi="宋体" w:cs="宋体"/>
          <w:sz w:val="24"/>
          <w:szCs w:val="24"/>
          <w:highlight w:val="none"/>
        </w:rPr>
        <w:t>个月内完成到货、安装、调试、上线工作。</w:t>
      </w:r>
    </w:p>
    <w:p w14:paraId="41EA293C">
      <w:pPr>
        <w:pStyle w:val="23"/>
        <w:numPr>
          <w:ilvl w:val="0"/>
          <w:numId w:val="7"/>
        </w:numPr>
        <w:spacing w:line="440" w:lineRule="exact"/>
        <w:ind w:firstLine="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项目实施</w:t>
      </w:r>
      <w:r>
        <w:rPr>
          <w:rFonts w:hint="eastAsia" w:ascii="宋体" w:hAnsi="宋体" w:eastAsia="宋体" w:cs="宋体"/>
          <w:sz w:val="24"/>
          <w:szCs w:val="24"/>
          <w:highlight w:val="none"/>
        </w:rPr>
        <w:t>地点：</w:t>
      </w:r>
      <w:r>
        <w:rPr>
          <w:rFonts w:hint="eastAsia" w:ascii="宋体" w:hAnsi="宋体" w:cs="宋体"/>
          <w:sz w:val="24"/>
          <w:szCs w:val="24"/>
          <w:highlight w:val="none"/>
          <w:lang w:val="en-US" w:eastAsia="zh-CN"/>
        </w:rPr>
        <w:t>广东省广州市海珠区石榴岗路13号大院</w:t>
      </w:r>
      <w:r>
        <w:rPr>
          <w:rFonts w:hint="default" w:ascii="宋体" w:hAnsi="宋体" w:cs="宋体"/>
          <w:sz w:val="24"/>
          <w:szCs w:val="24"/>
          <w:highlight w:val="none"/>
          <w:lang w:val="en-US" w:eastAsia="zh-CN"/>
        </w:rPr>
        <w:t> </w:t>
      </w:r>
    </w:p>
    <w:p w14:paraId="3BF07426">
      <w:pPr>
        <w:pStyle w:val="23"/>
        <w:numPr>
          <w:ilvl w:val="0"/>
          <w:numId w:val="7"/>
        </w:numPr>
        <w:spacing w:line="440" w:lineRule="exact"/>
        <w:ind w:firstLine="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维护期要求：</w:t>
      </w:r>
      <w:r>
        <w:rPr>
          <w:rFonts w:hint="eastAsia" w:ascii="宋体" w:hAnsi="宋体" w:eastAsia="宋体" w:cs="宋体"/>
          <w:sz w:val="21"/>
          <w:szCs w:val="21"/>
          <w:highlight w:val="none"/>
          <w:lang w:val="en-US" w:eastAsia="zh-CN"/>
        </w:rPr>
        <w:t>项目验收之日起</w:t>
      </w:r>
      <w:r>
        <w:rPr>
          <w:rFonts w:hint="eastAsia" w:ascii="宋体" w:hAnsi="宋体" w:cs="宋体"/>
          <w:sz w:val="24"/>
          <w:szCs w:val="24"/>
          <w:highlight w:val="none"/>
          <w:lang w:val="en-US" w:eastAsia="zh-CN"/>
        </w:rPr>
        <w:t>1年维护服务。</w:t>
      </w:r>
    </w:p>
    <w:p w14:paraId="26684947">
      <w:pPr>
        <w:pStyle w:val="23"/>
        <w:numPr>
          <w:ilvl w:val="0"/>
          <w:numId w:val="7"/>
        </w:numPr>
        <w:spacing w:line="440" w:lineRule="exact"/>
        <w:ind w:firstLine="0"/>
        <w:rPr>
          <w:rFonts w:ascii="仿宋_GB2312" w:hAnsi="仿宋_GB2312" w:eastAsia="仿宋_GB2312"/>
          <w:highlight w:val="none"/>
        </w:rPr>
      </w:pPr>
      <w:r>
        <w:rPr>
          <w:rFonts w:hint="eastAsia" w:ascii="宋体" w:hAnsi="宋体" w:eastAsia="宋体" w:cs="宋体"/>
          <w:sz w:val="24"/>
          <w:szCs w:val="24"/>
          <w:highlight w:val="none"/>
        </w:rPr>
        <w:t>支付</w:t>
      </w:r>
      <w:r>
        <w:rPr>
          <w:rFonts w:hint="eastAsia" w:ascii="宋体" w:hAnsi="宋体" w:cs="宋体"/>
          <w:sz w:val="24"/>
          <w:szCs w:val="24"/>
          <w:highlight w:val="none"/>
          <w:lang w:val="en-US" w:eastAsia="zh-CN"/>
        </w:rPr>
        <w:t>方式</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合同签订后，甲方在收到乙方开具相应金额正式发票后</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lang w:val="en-US" w:eastAsia="zh-CN"/>
        </w:rPr>
        <w:t>个工作日内完成办理支付申请手续，付款按有关规定办理，支付合同总价的</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0%，即人民币</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元(大写:</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元整)。合同内容全部完成并通过甲方的验收，甲方在收到乙方开具相应金额正式发票后</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lang w:val="en-US" w:eastAsia="zh-CN"/>
        </w:rPr>
        <w:t>个工作日内，向乙方支付合同总金额的</w:t>
      </w:r>
      <w:r>
        <w:rPr>
          <w:rFonts w:hint="eastAsia" w:ascii="宋体" w:hAnsi="宋体" w:cs="宋体"/>
          <w:sz w:val="24"/>
          <w:szCs w:val="24"/>
          <w:highlight w:val="none"/>
          <w:lang w:val="en-US" w:eastAsia="zh-CN"/>
        </w:rPr>
        <w:t>50</w:t>
      </w:r>
      <w:r>
        <w:rPr>
          <w:rFonts w:hint="eastAsia" w:ascii="宋体" w:hAnsi="宋体" w:eastAsia="宋体" w:cs="宋体"/>
          <w:sz w:val="24"/>
          <w:szCs w:val="24"/>
          <w:highlight w:val="none"/>
          <w:lang w:val="en-US" w:eastAsia="zh-CN"/>
        </w:rPr>
        <w:t>%，即人民币</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元(大写:</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如因中标人原因导致采购人延迟支付的，采购人不承担延迟责任。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1" w:fontKey="{6553B838-E4B4-4D0F-8866-739CF9FB10A4}"/>
  </w:font>
  <w:font w:name="等线 Light">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2" w:fontKey="{50495294-70C5-4AC9-A027-2DC876FFA88E}"/>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0709A"/>
    <w:multiLevelType w:val="singleLevel"/>
    <w:tmpl w:val="85D0709A"/>
    <w:lvl w:ilvl="0" w:tentative="0">
      <w:start w:val="1"/>
      <w:numFmt w:val="decimal"/>
      <w:lvlText w:val="%1."/>
      <w:lvlJc w:val="left"/>
      <w:pPr>
        <w:ind w:left="425" w:hanging="425"/>
      </w:pPr>
      <w:rPr>
        <w:rFonts w:hint="default"/>
      </w:rPr>
    </w:lvl>
  </w:abstractNum>
  <w:abstractNum w:abstractNumId="1">
    <w:nsid w:val="A3DC21C6"/>
    <w:multiLevelType w:val="singleLevel"/>
    <w:tmpl w:val="A3DC21C6"/>
    <w:lvl w:ilvl="0" w:tentative="0">
      <w:start w:val="1"/>
      <w:numFmt w:val="chineseCounting"/>
      <w:suff w:val="space"/>
      <w:lvlText w:val="第%1部分"/>
      <w:lvlJc w:val="left"/>
      <w:rPr>
        <w:rFonts w:hint="eastAsia"/>
      </w:rPr>
    </w:lvl>
  </w:abstractNum>
  <w:abstractNum w:abstractNumId="2">
    <w:nsid w:val="B8F290CA"/>
    <w:multiLevelType w:val="singleLevel"/>
    <w:tmpl w:val="B8F290CA"/>
    <w:lvl w:ilvl="0" w:tentative="0">
      <w:start w:val="1"/>
      <w:numFmt w:val="chineseCounting"/>
      <w:suff w:val="nothing"/>
      <w:lvlText w:val="（%1）"/>
      <w:lvlJc w:val="left"/>
      <w:pPr>
        <w:ind w:left="0" w:firstLine="0"/>
      </w:pPr>
      <w:rPr>
        <w:rFonts w:hint="eastAsia"/>
      </w:rPr>
    </w:lvl>
  </w:abstractNum>
  <w:abstractNum w:abstractNumId="3">
    <w:nsid w:val="BD750190"/>
    <w:multiLevelType w:val="multilevel"/>
    <w:tmpl w:val="BD750190"/>
    <w:lvl w:ilvl="0" w:tentative="0">
      <w:start w:val="1"/>
      <w:numFmt w:val="chineseCounting"/>
      <w:suff w:val="nothing"/>
      <w:lvlText w:val="（%1）"/>
      <w:lvlJc w:val="left"/>
      <w:pPr>
        <w:ind w:left="0" w:firstLine="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4">
    <w:nsid w:val="12BA6071"/>
    <w:multiLevelType w:val="singleLevel"/>
    <w:tmpl w:val="12BA6071"/>
    <w:lvl w:ilvl="0" w:tentative="0">
      <w:start w:val="1"/>
      <w:numFmt w:val="chineseCounting"/>
      <w:suff w:val="nothing"/>
      <w:lvlText w:val="（%1）"/>
      <w:lvlJc w:val="left"/>
      <w:pPr>
        <w:ind w:left="0" w:firstLine="0"/>
      </w:pPr>
      <w:rPr>
        <w:rFonts w:hint="eastAsia"/>
      </w:rPr>
    </w:lvl>
  </w:abstractNum>
  <w:abstractNum w:abstractNumId="5">
    <w:nsid w:val="25AC778E"/>
    <w:multiLevelType w:val="multilevel"/>
    <w:tmpl w:val="25AC778E"/>
    <w:lvl w:ilvl="0" w:tentative="0">
      <w:start w:val="1"/>
      <w:numFmt w:val="chineseCountingThousand"/>
      <w:lvlText w:val="%1、"/>
      <w:lvlJc w:val="left"/>
      <w:pPr>
        <w:tabs>
          <w:tab w:val="left" w:pos="420"/>
        </w:tabs>
        <w:ind w:left="420" w:hanging="420"/>
      </w:pPr>
      <w:rPr>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6CD11AC"/>
    <w:multiLevelType w:val="multilevel"/>
    <w:tmpl w:val="36CD11AC"/>
    <w:lvl w:ilvl="0" w:tentative="0">
      <w:start w:val="1"/>
      <w:numFmt w:val="decimal"/>
      <w:suff w:val="noth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5OTZjMzljZWJlOWYxNjFjYmU1ZDI5ZDdhMmRlZjQifQ=="/>
  </w:docVars>
  <w:rsids>
    <w:rsidRoot w:val="4FCC62BF"/>
    <w:rsid w:val="0002129A"/>
    <w:rsid w:val="00035A2F"/>
    <w:rsid w:val="00060836"/>
    <w:rsid w:val="000C6EAD"/>
    <w:rsid w:val="0016541E"/>
    <w:rsid w:val="001F10DE"/>
    <w:rsid w:val="002667FE"/>
    <w:rsid w:val="00272409"/>
    <w:rsid w:val="00285230"/>
    <w:rsid w:val="002B6560"/>
    <w:rsid w:val="002C171D"/>
    <w:rsid w:val="002F0FA4"/>
    <w:rsid w:val="003A7D0A"/>
    <w:rsid w:val="003C6A23"/>
    <w:rsid w:val="00457BB1"/>
    <w:rsid w:val="00467DF6"/>
    <w:rsid w:val="005D37B5"/>
    <w:rsid w:val="005F599E"/>
    <w:rsid w:val="006720A1"/>
    <w:rsid w:val="00685ED7"/>
    <w:rsid w:val="006E0E76"/>
    <w:rsid w:val="006E498E"/>
    <w:rsid w:val="00734823"/>
    <w:rsid w:val="0089745E"/>
    <w:rsid w:val="009A1280"/>
    <w:rsid w:val="009A2F9C"/>
    <w:rsid w:val="00A2388F"/>
    <w:rsid w:val="00A255B8"/>
    <w:rsid w:val="00A82729"/>
    <w:rsid w:val="00A8332F"/>
    <w:rsid w:val="00A94B34"/>
    <w:rsid w:val="00AA62FD"/>
    <w:rsid w:val="00AD6977"/>
    <w:rsid w:val="00AF0EE9"/>
    <w:rsid w:val="00B54747"/>
    <w:rsid w:val="00BD67EA"/>
    <w:rsid w:val="00CE444F"/>
    <w:rsid w:val="00D3296B"/>
    <w:rsid w:val="00D505F9"/>
    <w:rsid w:val="00D61DB9"/>
    <w:rsid w:val="00EE486E"/>
    <w:rsid w:val="00F13F3D"/>
    <w:rsid w:val="00F24E4F"/>
    <w:rsid w:val="00F66432"/>
    <w:rsid w:val="01D52D94"/>
    <w:rsid w:val="03C51232"/>
    <w:rsid w:val="04E565D4"/>
    <w:rsid w:val="05FB03C8"/>
    <w:rsid w:val="06796795"/>
    <w:rsid w:val="06C70123"/>
    <w:rsid w:val="07F20460"/>
    <w:rsid w:val="08D93C76"/>
    <w:rsid w:val="0B0250E8"/>
    <w:rsid w:val="0DF11CEA"/>
    <w:rsid w:val="0EB421D9"/>
    <w:rsid w:val="10952FFB"/>
    <w:rsid w:val="15B339AE"/>
    <w:rsid w:val="15D83621"/>
    <w:rsid w:val="18882D01"/>
    <w:rsid w:val="18BD4825"/>
    <w:rsid w:val="1C3D380E"/>
    <w:rsid w:val="1D667537"/>
    <w:rsid w:val="1EE70698"/>
    <w:rsid w:val="21665196"/>
    <w:rsid w:val="21EE48C0"/>
    <w:rsid w:val="223A40EF"/>
    <w:rsid w:val="22A3088F"/>
    <w:rsid w:val="2389227E"/>
    <w:rsid w:val="243A7E49"/>
    <w:rsid w:val="249977F4"/>
    <w:rsid w:val="263F0855"/>
    <w:rsid w:val="26E906B9"/>
    <w:rsid w:val="2CA32B27"/>
    <w:rsid w:val="35503F04"/>
    <w:rsid w:val="36004966"/>
    <w:rsid w:val="36276659"/>
    <w:rsid w:val="370E20D9"/>
    <w:rsid w:val="3B855673"/>
    <w:rsid w:val="3BAE31EC"/>
    <w:rsid w:val="3CFD2AC5"/>
    <w:rsid w:val="3D875E71"/>
    <w:rsid w:val="41377F7D"/>
    <w:rsid w:val="4461438C"/>
    <w:rsid w:val="4543618E"/>
    <w:rsid w:val="45E9789C"/>
    <w:rsid w:val="47086DC5"/>
    <w:rsid w:val="4A552B75"/>
    <w:rsid w:val="4BD016F9"/>
    <w:rsid w:val="4C2F046C"/>
    <w:rsid w:val="4D12627F"/>
    <w:rsid w:val="4E015A25"/>
    <w:rsid w:val="4EBA4079"/>
    <w:rsid w:val="4F0F5D09"/>
    <w:rsid w:val="4FCC62BF"/>
    <w:rsid w:val="4FD825DC"/>
    <w:rsid w:val="51880C4A"/>
    <w:rsid w:val="55545149"/>
    <w:rsid w:val="591655B8"/>
    <w:rsid w:val="5AAD1584"/>
    <w:rsid w:val="5C877BB2"/>
    <w:rsid w:val="619B0865"/>
    <w:rsid w:val="620D4E48"/>
    <w:rsid w:val="62CC7BEC"/>
    <w:rsid w:val="63223161"/>
    <w:rsid w:val="64DE67DD"/>
    <w:rsid w:val="65C97660"/>
    <w:rsid w:val="665073B6"/>
    <w:rsid w:val="68823FC5"/>
    <w:rsid w:val="6B40254A"/>
    <w:rsid w:val="6B7D57E7"/>
    <w:rsid w:val="6C802535"/>
    <w:rsid w:val="6CC3252A"/>
    <w:rsid w:val="6DB620AF"/>
    <w:rsid w:val="6DB63E53"/>
    <w:rsid w:val="6EBC3647"/>
    <w:rsid w:val="6F7C0F5C"/>
    <w:rsid w:val="6FA015C0"/>
    <w:rsid w:val="70224441"/>
    <w:rsid w:val="73684C03"/>
    <w:rsid w:val="745D70B1"/>
    <w:rsid w:val="753A7A60"/>
    <w:rsid w:val="75C36A9D"/>
    <w:rsid w:val="77425518"/>
    <w:rsid w:val="77F30D3D"/>
    <w:rsid w:val="791F5373"/>
    <w:rsid w:val="79E50318"/>
    <w:rsid w:val="79FA3203"/>
    <w:rsid w:val="7A502ACC"/>
    <w:rsid w:val="7B9C3BD1"/>
    <w:rsid w:val="7BEE6EAE"/>
    <w:rsid w:val="7D0A3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qFormat/>
    <w:uiPriority w:val="0"/>
    <w:pPr>
      <w:keepNext/>
      <w:outlineLvl w:val="2"/>
    </w:pPr>
    <w:rPr>
      <w:rFonts w:ascii="楷体_GB2312" w:hAnsi="宋体" w:eastAsia="楷体_GB2312"/>
      <w:b/>
      <w:bCs/>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7"/>
    <w:unhideWhenUsed/>
    <w:qFormat/>
    <w:uiPriority w:val="99"/>
    <w:pPr>
      <w:jc w:val="left"/>
    </w:pPr>
  </w:style>
  <w:style w:type="paragraph" w:styleId="7">
    <w:name w:val="Body Text"/>
    <w:basedOn w:val="1"/>
    <w:qFormat/>
    <w:uiPriority w:val="0"/>
    <w:pPr>
      <w:spacing w:line="360" w:lineRule="auto"/>
    </w:pPr>
    <w:rPr>
      <w:szCs w:val="20"/>
    </w:rPr>
  </w:style>
  <w:style w:type="paragraph" w:styleId="8">
    <w:name w:val="Body Text Indent"/>
    <w:basedOn w:val="1"/>
    <w:qFormat/>
    <w:uiPriority w:val="0"/>
    <w:pPr>
      <w:ind w:firstLine="830" w:firstLineChars="352"/>
    </w:pPr>
    <w:rPr>
      <w:rFonts w:ascii="仿宋_GB2312" w:eastAsia="仿宋_GB2312"/>
      <w:sz w:val="32"/>
      <w:szCs w:val="20"/>
    </w:rPr>
  </w:style>
  <w:style w:type="paragraph" w:styleId="9">
    <w:name w:val="toc 3"/>
    <w:basedOn w:val="1"/>
    <w:next w:val="1"/>
    <w:unhideWhenUsed/>
    <w:qFormat/>
    <w:uiPriority w:val="39"/>
    <w:pPr>
      <w:ind w:left="480"/>
    </w:pPr>
    <w:rPr>
      <w:rFonts w:ascii="Calibri" w:hAnsi="Calibri" w:cs="Calibri"/>
      <w:i/>
      <w:iCs/>
      <w:sz w:val="20"/>
      <w:szCs w:val="20"/>
    </w:rPr>
  </w:style>
  <w:style w:type="paragraph" w:styleId="10">
    <w:name w:val="Plain Text"/>
    <w:basedOn w:val="1"/>
    <w:qFormat/>
    <w:uiPriority w:val="0"/>
    <w:rPr>
      <w:rFonts w:ascii="宋体" w:hAnsi="Courier New"/>
      <w:kern w:val="0"/>
      <w:sz w:val="20"/>
      <w:szCs w:val="21"/>
    </w:rPr>
  </w:style>
  <w:style w:type="paragraph" w:styleId="11">
    <w:name w:val="footer"/>
    <w:basedOn w:val="1"/>
    <w:link w:val="33"/>
    <w:qFormat/>
    <w:uiPriority w:val="0"/>
    <w:pPr>
      <w:tabs>
        <w:tab w:val="center" w:pos="4153"/>
        <w:tab w:val="right" w:pos="8306"/>
      </w:tabs>
      <w:snapToGrid w:val="0"/>
      <w:jc w:val="left"/>
    </w:pPr>
    <w:rPr>
      <w:sz w:val="18"/>
      <w:szCs w:val="18"/>
    </w:rPr>
  </w:style>
  <w:style w:type="paragraph" w:styleId="12">
    <w:name w:val="header"/>
    <w:basedOn w:val="1"/>
    <w:link w:val="32"/>
    <w:qFormat/>
    <w:uiPriority w:val="0"/>
    <w:pPr>
      <w:tabs>
        <w:tab w:val="center" w:pos="4153"/>
        <w:tab w:val="right" w:pos="8306"/>
      </w:tabs>
      <w:snapToGrid w:val="0"/>
      <w:jc w:val="center"/>
    </w:pPr>
    <w:rPr>
      <w:sz w:val="18"/>
      <w:szCs w:val="18"/>
    </w:rPr>
  </w:style>
  <w:style w:type="paragraph" w:styleId="13">
    <w:name w:val="Subtitle"/>
    <w:basedOn w:val="1"/>
    <w:next w:val="1"/>
    <w:qFormat/>
    <w:uiPriority w:val="11"/>
    <w:pPr>
      <w:spacing w:before="240" w:after="60" w:line="312" w:lineRule="auto"/>
      <w:jc w:val="center"/>
      <w:outlineLvl w:val="1"/>
    </w:pPr>
    <w:rPr>
      <w:rFonts w:ascii="等线 Light" w:hAnsi="等线 Light"/>
      <w:b/>
      <w:bCs/>
      <w:kern w:val="28"/>
      <w:sz w:val="32"/>
      <w:szCs w:val="32"/>
    </w:rPr>
  </w:style>
  <w:style w:type="paragraph" w:styleId="14">
    <w:name w:val="toc 2"/>
    <w:basedOn w:val="1"/>
    <w:next w:val="1"/>
    <w:qFormat/>
    <w:uiPriority w:val="39"/>
    <w:pPr>
      <w:ind w:left="240"/>
    </w:pPr>
    <w:rPr>
      <w:rFonts w:ascii="Calibri" w:hAnsi="Calibri" w:cs="Calibri"/>
      <w:smallCaps/>
      <w:sz w:val="20"/>
      <w:szCs w:val="20"/>
    </w:rPr>
  </w:style>
  <w:style w:type="paragraph" w:styleId="15">
    <w:name w:val="Normal (Web)"/>
    <w:basedOn w:val="1"/>
    <w:qFormat/>
    <w:uiPriority w:val="0"/>
    <w:pPr>
      <w:spacing w:beforeAutospacing="1" w:afterAutospacing="1"/>
      <w:jc w:val="left"/>
    </w:pPr>
    <w:rPr>
      <w:kern w:val="0"/>
      <w:sz w:val="24"/>
    </w:rPr>
  </w:style>
  <w:style w:type="paragraph" w:styleId="16">
    <w:name w:val="annotation subject"/>
    <w:basedOn w:val="6"/>
    <w:next w:val="6"/>
    <w:link w:val="28"/>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unhideWhenUsed/>
    <w:qFormat/>
    <w:uiPriority w:val="99"/>
    <w:rPr>
      <w:color w:val="0563C1"/>
      <w:u w:val="single"/>
    </w:rPr>
  </w:style>
  <w:style w:type="character" w:styleId="22">
    <w:name w:val="annotation reference"/>
    <w:basedOn w:val="19"/>
    <w:unhideWhenUsed/>
    <w:qFormat/>
    <w:uiPriority w:val="99"/>
    <w:rPr>
      <w:sz w:val="21"/>
      <w:szCs w:val="21"/>
    </w:rPr>
  </w:style>
  <w:style w:type="paragraph" w:customStyle="1" w:styleId="23">
    <w:name w:val="正文正"/>
    <w:basedOn w:val="1"/>
    <w:qFormat/>
    <w:uiPriority w:val="0"/>
    <w:pPr>
      <w:spacing w:line="560" w:lineRule="exact"/>
      <w:ind w:firstLine="561"/>
    </w:pPr>
    <w:rPr>
      <w:rFonts w:ascii="Calibri" w:hAnsi="Calibri"/>
      <w:sz w:val="28"/>
      <w:szCs w:val="28"/>
    </w:rPr>
  </w:style>
  <w:style w:type="paragraph" w:styleId="24">
    <w:name w:val="List Paragraph"/>
    <w:basedOn w:val="1"/>
    <w:qFormat/>
    <w:uiPriority w:val="99"/>
    <w:pPr>
      <w:ind w:firstLine="420" w:firstLineChars="200"/>
    </w:pPr>
  </w:style>
  <w:style w:type="paragraph" w:customStyle="1" w:styleId="25">
    <w:name w:val="_Style 28"/>
    <w:basedOn w:val="1"/>
    <w:next w:val="24"/>
    <w:qFormat/>
    <w:uiPriority w:val="99"/>
    <w:pPr>
      <w:ind w:firstLine="420" w:firstLineChars="200"/>
    </w:pPr>
  </w:style>
  <w:style w:type="paragraph" w:customStyle="1" w:styleId="26">
    <w:name w:val="修订1"/>
    <w:hidden/>
    <w:unhideWhenUsed/>
    <w:qFormat/>
    <w:uiPriority w:val="99"/>
    <w:rPr>
      <w:rFonts w:ascii="Times New Roman" w:hAnsi="Times New Roman" w:eastAsia="宋体" w:cs="Times New Roman"/>
      <w:kern w:val="2"/>
      <w:sz w:val="21"/>
      <w:szCs w:val="22"/>
      <w:lang w:val="en-US" w:eastAsia="zh-CN" w:bidi="ar-SA"/>
    </w:rPr>
  </w:style>
  <w:style w:type="character" w:customStyle="1" w:styleId="27">
    <w:name w:val="批注文字 字符"/>
    <w:basedOn w:val="19"/>
    <w:link w:val="6"/>
    <w:qFormat/>
    <w:uiPriority w:val="99"/>
    <w:rPr>
      <w:kern w:val="2"/>
      <w:sz w:val="21"/>
      <w:szCs w:val="22"/>
    </w:rPr>
  </w:style>
  <w:style w:type="character" w:customStyle="1" w:styleId="28">
    <w:name w:val="批注主题 字符"/>
    <w:basedOn w:val="27"/>
    <w:link w:val="16"/>
    <w:qFormat/>
    <w:uiPriority w:val="0"/>
    <w:rPr>
      <w:b/>
      <w:bCs/>
      <w:kern w:val="2"/>
      <w:sz w:val="21"/>
      <w:szCs w:val="22"/>
    </w:rPr>
  </w:style>
  <w:style w:type="paragraph" w:customStyle="1" w:styleId="29">
    <w:name w:val="列出段落1"/>
    <w:basedOn w:val="1"/>
    <w:qFormat/>
    <w:uiPriority w:val="99"/>
    <w:pPr>
      <w:ind w:firstLine="420" w:firstLineChars="200"/>
    </w:pPr>
    <w:rPr>
      <w:szCs w:val="21"/>
    </w:rPr>
  </w:style>
  <w:style w:type="paragraph" w:customStyle="1" w:styleId="30">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31">
    <w:name w:val="标题 1 字符"/>
    <w:basedOn w:val="19"/>
    <w:link w:val="2"/>
    <w:qFormat/>
    <w:uiPriority w:val="0"/>
    <w:rPr>
      <w:b/>
      <w:bCs/>
      <w:kern w:val="44"/>
      <w:sz w:val="44"/>
      <w:szCs w:val="44"/>
    </w:rPr>
  </w:style>
  <w:style w:type="character" w:customStyle="1" w:styleId="32">
    <w:name w:val="页眉 字符"/>
    <w:basedOn w:val="19"/>
    <w:link w:val="12"/>
    <w:qFormat/>
    <w:uiPriority w:val="0"/>
    <w:rPr>
      <w:kern w:val="2"/>
      <w:sz w:val="18"/>
      <w:szCs w:val="18"/>
    </w:rPr>
  </w:style>
  <w:style w:type="character" w:customStyle="1" w:styleId="33">
    <w:name w:val="页脚 字符"/>
    <w:basedOn w:val="19"/>
    <w:link w:val="11"/>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4766</Words>
  <Characters>4876</Characters>
  <Lines>43</Lines>
  <Paragraphs>12</Paragraphs>
  <TotalTime>0</TotalTime>
  <ScaleCrop>false</ScaleCrop>
  <LinksUpToDate>false</LinksUpToDate>
  <CharactersWithSpaces>5358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2023-06-27T09:27:00Z</dcterms:created>
  <dc:creator>cissy</dc:creator>
  <cp:lastModifiedBy>弘毅</cp:lastModifiedBy>
  <dcterms:modified xsi:type="dcterms:W3CDTF">2025-07-15T03:02:12Z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EA0327EC3FDE41B98C87DEB41BD318F5_13</vt:lpwstr>
  </property>
  <property fmtid="{D5CDD505-2E9C-101B-9397-08002B2CF9AE}" pid="4" name="KSOTemplateDocerSaveRecord">
    <vt:lpwstr>eyJoZGlkIjoiZjFmZWIzNDg2MmIzZjExOTIzMmViNTBmYTMwYTk0ZWYiLCJ1c2VySWQiOiI0MDY5MzA4NTgifQ==</vt:lpwstr>
  </property>
</Properties>
</file>