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jc w:val="center"/>
        <w:rPr>
          <w:rFonts w:hint="eastAsia" w:eastAsiaTheme="minorEastAsia"/>
          <w:b/>
          <w:bCs/>
          <w:sz w:val="24"/>
          <w:lang w:val="en-US" w:eastAsia="zh-CN"/>
        </w:rPr>
      </w:pPr>
      <w:r>
        <w:rPr>
          <w:rFonts w:hint="eastAsia"/>
          <w:b/>
          <w:bCs/>
          <w:sz w:val="24"/>
        </w:rPr>
        <w:t>采购</w:t>
      </w:r>
      <w:r>
        <w:rPr>
          <w:rFonts w:hint="eastAsia"/>
          <w:b/>
          <w:bCs/>
          <w:sz w:val="24"/>
          <w:lang w:val="en-US" w:eastAsia="zh-CN"/>
        </w:rPr>
        <w:t>文件</w:t>
      </w:r>
    </w:p>
    <w:p>
      <w:pPr>
        <w:numPr>
          <w:ilvl w:val="0"/>
          <w:numId w:val="1"/>
        </w:numPr>
        <w:spacing w:line="360" w:lineRule="auto"/>
        <w:rPr>
          <w:b/>
          <w:bCs/>
          <w:sz w:val="24"/>
        </w:rPr>
      </w:pPr>
      <w:r>
        <w:rPr>
          <w:rFonts w:hint="eastAsia"/>
          <w:b/>
          <w:bCs/>
          <w:sz w:val="24"/>
        </w:rPr>
        <w:t>项目名称</w:t>
      </w:r>
    </w:p>
    <w:p>
      <w:pPr>
        <w:spacing w:line="360" w:lineRule="auto"/>
        <w:ind w:left="420"/>
        <w:rPr>
          <w:rFonts w:hint="default" w:eastAsiaTheme="minorEastAsia"/>
          <w:sz w:val="24"/>
          <w:lang w:val="en-US" w:eastAsia="zh-CN"/>
        </w:rPr>
      </w:pPr>
      <w:r>
        <w:rPr>
          <w:rFonts w:hint="eastAsia"/>
        </w:rPr>
        <w:t>南方医科大学中西医结合医院</w:t>
      </w:r>
      <w:r>
        <w:rPr>
          <w:rFonts w:hint="eastAsia"/>
          <w:lang w:val="en-US" w:eastAsia="zh-CN"/>
        </w:rPr>
        <w:t>采购医用气体项目</w:t>
      </w:r>
    </w:p>
    <w:p>
      <w:pPr>
        <w:spacing w:line="360" w:lineRule="auto"/>
        <w:rPr>
          <w:sz w:val="24"/>
        </w:rPr>
      </w:pPr>
    </w:p>
    <w:p>
      <w:pPr>
        <w:numPr>
          <w:ilvl w:val="0"/>
          <w:numId w:val="1"/>
        </w:numPr>
        <w:spacing w:line="360" w:lineRule="auto"/>
        <w:rPr>
          <w:b/>
          <w:bCs/>
          <w:sz w:val="24"/>
        </w:rPr>
      </w:pPr>
      <w:r>
        <w:rPr>
          <w:rFonts w:hint="eastAsia"/>
          <w:b/>
          <w:bCs/>
          <w:sz w:val="24"/>
        </w:rPr>
        <w:t>参选人资格</w:t>
      </w:r>
    </w:p>
    <w:p>
      <w:pPr>
        <w:spacing w:line="360" w:lineRule="auto"/>
        <w:rPr>
          <w:rFonts w:hint="eastAsia" w:ascii="Arial Unicode MS" w:hAnsi="Arial Unicode MS" w:cs="宋体"/>
          <w:szCs w:val="21"/>
        </w:rPr>
      </w:pPr>
      <w:r>
        <w:rPr>
          <w:rFonts w:hint="eastAsia" w:ascii="Arial Unicode MS" w:hAnsi="Arial Unicode MS" w:cs="宋体"/>
          <w:szCs w:val="21"/>
        </w:rPr>
        <w:t>1.供应商应具备以下规定的条件，并提供下列材料：</w:t>
      </w:r>
    </w:p>
    <w:p>
      <w:pPr>
        <w:spacing w:line="360" w:lineRule="auto"/>
        <w:rPr>
          <w:rFonts w:hint="eastAsia" w:ascii="Arial Unicode MS" w:hAnsi="Arial Unicode MS" w:cs="宋体"/>
          <w:szCs w:val="21"/>
        </w:rPr>
      </w:pPr>
      <w:r>
        <w:rPr>
          <w:rFonts w:hint="eastAsia" w:ascii="Arial Unicode MS" w:hAnsi="Arial Unicode MS" w:cs="宋体"/>
          <w:szCs w:val="21"/>
        </w:rPr>
        <w:t>（1）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pPr>
        <w:spacing w:line="360" w:lineRule="auto"/>
        <w:rPr>
          <w:rFonts w:hint="eastAsia" w:ascii="Arial Unicode MS" w:hAnsi="Arial Unicode MS" w:cs="宋体"/>
          <w:szCs w:val="21"/>
        </w:rPr>
      </w:pPr>
      <w:r>
        <w:rPr>
          <w:rFonts w:hint="eastAsia" w:ascii="Arial Unicode MS" w:hAnsi="Arial Unicode MS" w:cs="宋体"/>
          <w:szCs w:val="21"/>
        </w:rPr>
        <w:t>（2）具有良好的商业信誉和健全的财务会计制度：提供2022或者2023年度财务状况报告或基本开户行（或基本存款账户行）出具的资信证明，或最近一期财务报表（适用在上一年度或本财务年度成立的法人或其他组织），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具有依法缴纳税收和社会保障资金的良好记录：提供所属期限为响应截止日前12个月内任意1个月依法缴纳税收和社会保障资金的相关材料。如依法免税或不需要缴纳社会保障资金的，提供相应证明材料，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（4）具有履行合同所必须的设备和专业技术能力：按响应文件格式填报设备及专业技术能力情况或提供《供应商资格声明函》。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5）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pPr>
        <w:spacing w:line="360" w:lineRule="auto"/>
        <w:rPr>
          <w:rFonts w:hint="eastAsia" w:ascii="Arial Unicode MS" w:hAnsi="Arial Unicode MS" w:cs="宋体"/>
          <w:szCs w:val="21"/>
        </w:rPr>
      </w:pPr>
      <w:r>
        <w:rPr>
          <w:rFonts w:hint="eastAsia" w:ascii="Arial Unicode MS" w:hAnsi="Arial Unicode MS" w:cs="宋体"/>
          <w:szCs w:val="21"/>
        </w:rPr>
        <w:t>3.供应商必须符合法律、行政法规规定的其他条件：</w:t>
      </w:r>
    </w:p>
    <w:p>
      <w:pPr>
        <w:spacing w:line="360" w:lineRule="auto"/>
        <w:rPr>
          <w:rFonts w:hint="eastAsia" w:ascii="Arial Unicode MS" w:hAnsi="Arial Unicode MS" w:cs="宋体"/>
          <w:szCs w:val="21"/>
        </w:rPr>
      </w:pPr>
      <w:r>
        <w:rPr>
          <w:rFonts w:hint="eastAsia" w:ascii="Arial Unicode MS" w:hAnsi="Arial Unicode MS" w:cs="宋体"/>
          <w:szCs w:val="21"/>
        </w:rPr>
        <w:t>（1）单位负责人为同一人或者存在直接控股、管理关系的不同供应商，不得同时参加本采购项目（采购包）响应。提供《供应商资格声明函》。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（2）为本项目提供整体设计、规范编制或者项目管理、监理、检测等服务的供应商，不得再参与本项目（采购包）响应。提供《供应商资格声明函》。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（3）供应商已按</w:t>
      </w:r>
      <w:r>
        <w:rPr>
          <w:rFonts w:hint="eastAsia" w:ascii="Arial Unicode MS" w:hAnsi="Arial Unicode MS" w:cs="宋体"/>
          <w:szCs w:val="21"/>
          <w:lang w:val="en-US" w:eastAsia="zh-CN"/>
        </w:rPr>
        <w:t>采购</w:t>
      </w:r>
      <w:r>
        <w:rPr>
          <w:rFonts w:hint="eastAsia" w:ascii="Arial Unicode MS" w:hAnsi="Arial Unicode MS" w:cs="宋体"/>
          <w:szCs w:val="21"/>
        </w:rPr>
        <w:t>公告</w:t>
      </w:r>
      <w:r>
        <w:rPr>
          <w:rFonts w:hint="eastAsia" w:ascii="Arial Unicode MS" w:hAnsi="Arial Unicode MS" w:cs="宋体"/>
          <w:szCs w:val="21"/>
          <w:lang w:val="en-US" w:eastAsia="zh-CN"/>
        </w:rPr>
        <w:t>的</w:t>
      </w:r>
      <w:r>
        <w:rPr>
          <w:rFonts w:hint="eastAsia" w:ascii="Arial Unicode MS" w:hAnsi="Arial Unicode MS" w:cs="宋体"/>
          <w:szCs w:val="21"/>
        </w:rPr>
        <w:t>规定获取了</w:t>
      </w:r>
      <w:r>
        <w:rPr>
          <w:rFonts w:hint="eastAsia" w:ascii="Arial Unicode MS" w:hAnsi="Arial Unicode MS" w:cs="宋体"/>
          <w:szCs w:val="21"/>
          <w:lang w:val="en-US" w:eastAsia="zh-CN"/>
        </w:rPr>
        <w:t>采购</w:t>
      </w:r>
      <w:r>
        <w:rPr>
          <w:rFonts w:hint="eastAsia" w:ascii="Arial Unicode MS" w:hAnsi="Arial Unicode MS" w:cs="宋体"/>
          <w:szCs w:val="21"/>
        </w:rPr>
        <w:t>文件。</w:t>
      </w:r>
    </w:p>
    <w:p>
      <w:pPr>
        <w:spacing w:line="360" w:lineRule="auto"/>
        <w:rPr>
          <w:rFonts w:hint="eastAsia" w:ascii="Arial Unicode MS" w:hAnsi="Arial Unicode MS" w:cs="宋体"/>
          <w:szCs w:val="21"/>
        </w:rPr>
      </w:pPr>
      <w:r>
        <w:rPr>
          <w:rFonts w:hint="eastAsia" w:ascii="Arial Unicode MS" w:hAnsi="Arial Unicode MS" w:cs="宋体"/>
          <w:szCs w:val="21"/>
        </w:rPr>
        <w:t>（4）本项目不接受联合体响应。</w:t>
      </w:r>
    </w:p>
    <w:p>
      <w:pPr>
        <w:spacing w:line="360" w:lineRule="auto"/>
        <w:rPr>
          <w:rFonts w:hint="eastAsia" w:ascii="Arial Unicode MS" w:hAnsi="Arial Unicode MS" w:cs="宋体"/>
          <w:szCs w:val="21"/>
        </w:rPr>
      </w:pPr>
      <w:r>
        <w:rPr>
          <w:rFonts w:hint="eastAsia" w:ascii="Arial Unicode MS" w:hAnsi="Arial Unicode MS" w:cs="宋体"/>
          <w:szCs w:val="21"/>
        </w:rPr>
        <w:t>（5）供应商应当具备的其他特定资格条件：</w:t>
      </w:r>
    </w:p>
    <w:p>
      <w:pPr>
        <w:spacing w:line="360" w:lineRule="auto"/>
        <w:rPr>
          <w:rFonts w:hint="default" w:ascii="Arial Unicode MS" w:hAnsi="Arial Unicode MS" w:cs="宋体" w:eastAsiaTheme="minorEastAsia"/>
          <w:szCs w:val="21"/>
          <w:lang w:val="en-US" w:eastAsia="zh-CN"/>
        </w:rPr>
      </w:pPr>
      <w:r>
        <w:rPr>
          <w:rFonts w:hint="eastAsia" w:ascii="Arial Unicode MS" w:hAnsi="Arial Unicode MS" w:cs="宋体"/>
          <w:szCs w:val="21"/>
          <w:lang w:val="en-US" w:eastAsia="zh-CN"/>
        </w:rPr>
        <w:t>1）具备并</w:t>
      </w:r>
      <w:r>
        <w:rPr>
          <w:rFonts w:hint="default" w:ascii="Arial Unicode MS" w:hAnsi="Arial Unicode MS" w:cs="宋体" w:eastAsiaTheme="minorEastAsia"/>
          <w:szCs w:val="21"/>
          <w:lang w:val="en-US" w:eastAsia="zh-CN"/>
        </w:rPr>
        <w:t>提供《药品生产企业许可证》《危险化学品经营许可证》《危险化学品安全生产许可证》《道路运输经营许可证》等证件复印件</w:t>
      </w:r>
      <w:r>
        <w:rPr>
          <w:rFonts w:hint="eastAsia" w:ascii="Arial Unicode MS" w:hAnsi="Arial Unicode MS" w:cs="宋体"/>
          <w:szCs w:val="21"/>
          <w:lang w:val="en-US" w:eastAsia="zh-CN"/>
        </w:rPr>
        <w:t>并</w:t>
      </w:r>
      <w:r>
        <w:rPr>
          <w:rFonts w:hint="default" w:ascii="Arial Unicode MS" w:hAnsi="Arial Unicode MS" w:cs="宋体" w:eastAsiaTheme="minorEastAsia"/>
          <w:szCs w:val="21"/>
          <w:lang w:val="en-US" w:eastAsia="zh-CN"/>
        </w:rPr>
        <w:t>加盖公章。</w:t>
      </w:r>
    </w:p>
    <w:p>
      <w:pPr>
        <w:spacing w:line="360" w:lineRule="auto"/>
        <w:rPr>
          <w:rFonts w:hint="eastAsia" w:ascii="Arial Unicode MS" w:hAnsi="Arial Unicode MS" w:cs="宋体" w:eastAsiaTheme="minorEastAsia"/>
          <w:szCs w:val="21"/>
          <w:lang w:val="en-US" w:eastAsia="zh-CN"/>
        </w:rPr>
      </w:pPr>
      <w:r>
        <w:rPr>
          <w:rFonts w:hint="eastAsia" w:ascii="Arial Unicode MS" w:hAnsi="Arial Unicode MS" w:cs="宋体" w:eastAsiaTheme="minorEastAsia"/>
          <w:szCs w:val="21"/>
          <w:lang w:val="en-US" w:eastAsia="zh-CN"/>
        </w:rPr>
        <w:t>2）应办理或具有《广州市危险化学品车辆市区道路运输通行证》，其有效期覆盖开始履约的时间，便于要求供应时顺利供氧（</w:t>
      </w:r>
      <w:r>
        <w:rPr>
          <w:rFonts w:hint="eastAsia" w:ascii="Arial Unicode MS" w:hAnsi="Arial Unicode MS" w:cs="宋体"/>
          <w:szCs w:val="21"/>
          <w:lang w:val="en-US" w:eastAsia="zh-CN"/>
        </w:rPr>
        <w:t>响应</w:t>
      </w:r>
      <w:r>
        <w:rPr>
          <w:rFonts w:hint="eastAsia" w:ascii="Arial Unicode MS" w:hAnsi="Arial Unicode MS" w:cs="宋体" w:eastAsiaTheme="minorEastAsia"/>
          <w:szCs w:val="21"/>
          <w:lang w:val="en-US" w:eastAsia="zh-CN"/>
        </w:rPr>
        <w:t>人提供承诺函，格式自拟）</w:t>
      </w:r>
    </w:p>
    <w:p>
      <w:pPr>
        <w:spacing w:line="360" w:lineRule="auto"/>
        <w:rPr>
          <w:rFonts w:hint="default" w:ascii="Arial Unicode MS" w:hAnsi="Arial Unicode MS" w:cs="宋体" w:eastAsiaTheme="minorEastAsia"/>
          <w:szCs w:val="21"/>
          <w:lang w:val="en-US" w:eastAsia="zh-CN"/>
        </w:rPr>
      </w:pPr>
    </w:p>
    <w:p>
      <w:pPr>
        <w:numPr>
          <w:ilvl w:val="0"/>
          <w:numId w:val="1"/>
        </w:numPr>
        <w:spacing w:line="360" w:lineRule="auto"/>
        <w:rPr>
          <w:sz w:val="24"/>
        </w:rPr>
      </w:pPr>
      <w:r>
        <w:rPr>
          <w:rFonts w:hint="eastAsia"/>
          <w:b/>
          <w:bCs/>
          <w:sz w:val="24"/>
        </w:rPr>
        <w:t>项目需求</w:t>
      </w:r>
    </w:p>
    <w:p>
      <w:pPr>
        <w:numPr>
          <w:ilvl w:val="0"/>
          <w:numId w:val="2"/>
        </w:numPr>
        <w:spacing w:line="360" w:lineRule="auto"/>
        <w:ind w:left="425" w:hanging="425"/>
        <w:rPr>
          <w:sz w:val="24"/>
        </w:rPr>
      </w:pPr>
      <w:r>
        <w:rPr>
          <w:rFonts w:hint="eastAsia"/>
          <w:sz w:val="24"/>
        </w:rPr>
        <w:t>项目内容：</w:t>
      </w:r>
    </w:p>
    <w:p>
      <w:pPr>
        <w:ind w:firstLine="420"/>
        <w:rPr>
          <w:rFonts w:ascii="宋体" w:hAnsi="宋体" w:eastAsia="宋体" w:cs="宋体"/>
          <w:sz w:val="24"/>
        </w:rPr>
      </w:pPr>
      <w:r>
        <w:rPr>
          <w:rFonts w:hint="eastAsia" w:ascii="宋体" w:hAnsi="宋体" w:cs="宋体"/>
          <w:sz w:val="24"/>
        </w:rPr>
        <w:t>采购项目：</w:t>
      </w:r>
    </w:p>
    <w:tbl>
      <w:tblPr>
        <w:tblStyle w:val="6"/>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076"/>
        <w:gridCol w:w="1769"/>
        <w:gridCol w:w="268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tcPr>
          <w:p>
            <w:pPr>
              <w:jc w:val="center"/>
            </w:pPr>
            <w:r>
              <w:rPr>
                <w:b/>
              </w:rPr>
              <w:t>标的名称</w:t>
            </w:r>
          </w:p>
        </w:tc>
        <w:tc>
          <w:tcPr>
            <w:tcW w:w="1769" w:type="dxa"/>
            <w:tcBorders>
              <w:top w:val="single" w:color="000000" w:sz="4" w:space="0"/>
              <w:left w:val="nil"/>
              <w:bottom w:val="single" w:color="000000" w:sz="4" w:space="0"/>
              <w:right w:val="single" w:color="000000" w:sz="4" w:space="0"/>
            </w:tcBorders>
          </w:tcPr>
          <w:p>
            <w:pPr>
              <w:jc w:val="center"/>
            </w:pPr>
            <w:r>
              <w:rPr>
                <w:rFonts w:hint="eastAsia"/>
                <w:b/>
                <w:lang w:val="en-US" w:eastAsia="zh-CN"/>
              </w:rPr>
              <w:t>供货</w:t>
            </w:r>
            <w:r>
              <w:rPr>
                <w:b/>
              </w:rPr>
              <w:t>期限</w:t>
            </w:r>
          </w:p>
        </w:tc>
        <w:tc>
          <w:tcPr>
            <w:tcW w:w="2683" w:type="dxa"/>
            <w:tcBorders>
              <w:top w:val="single" w:color="000000" w:sz="4" w:space="0"/>
              <w:left w:val="nil"/>
              <w:bottom w:val="single" w:color="000000" w:sz="4" w:space="0"/>
              <w:right w:val="single" w:color="000000" w:sz="4" w:space="0"/>
            </w:tcBorders>
          </w:tcPr>
          <w:p>
            <w:pPr>
              <w:jc w:val="center"/>
            </w:pPr>
            <w:r>
              <w:rPr>
                <w:b/>
              </w:rPr>
              <w:t>最高限价(人民币)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076" w:type="dxa"/>
            <w:tcBorders>
              <w:top w:val="nil"/>
              <w:left w:val="single" w:color="000000" w:sz="4" w:space="0"/>
              <w:bottom w:val="single" w:color="000000" w:sz="4" w:space="0"/>
              <w:right w:val="single" w:color="000000" w:sz="4" w:space="0"/>
            </w:tcBorders>
            <w:vAlign w:val="center"/>
          </w:tcPr>
          <w:p>
            <w:pPr>
              <w:jc w:val="center"/>
            </w:pPr>
            <w:r>
              <w:rPr>
                <w:rFonts w:hint="eastAsia" w:ascii="宋体" w:hAnsi="宋体"/>
                <w:szCs w:val="21"/>
              </w:rPr>
              <w:t>医用气体</w:t>
            </w:r>
          </w:p>
        </w:tc>
        <w:tc>
          <w:tcPr>
            <w:tcW w:w="1769" w:type="dxa"/>
            <w:tcBorders>
              <w:top w:val="nil"/>
              <w:left w:val="nil"/>
              <w:bottom w:val="single" w:color="000000" w:sz="4" w:space="0"/>
              <w:right w:val="single" w:color="000000" w:sz="4" w:space="0"/>
            </w:tcBorders>
            <w:vAlign w:val="center"/>
          </w:tcPr>
          <w:p>
            <w:pPr>
              <w:jc w:val="center"/>
            </w:pPr>
            <w:r>
              <w:rPr>
                <w:rFonts w:ascii="宋体" w:hAnsi="宋体"/>
                <w:szCs w:val="21"/>
              </w:rPr>
              <w:t>2</w:t>
            </w:r>
            <w:r>
              <w:rPr>
                <w:rFonts w:hint="eastAsia" w:ascii="宋体" w:hAnsi="宋体"/>
                <w:szCs w:val="21"/>
                <w:lang w:val="en-US" w:eastAsia="zh-CN"/>
              </w:rPr>
              <w:t>个</w:t>
            </w:r>
            <w:r>
              <w:rPr>
                <w:rFonts w:hint="eastAsia" w:ascii="宋体" w:hAnsi="宋体"/>
                <w:szCs w:val="21"/>
              </w:rPr>
              <w:t>月</w:t>
            </w:r>
          </w:p>
        </w:tc>
        <w:tc>
          <w:tcPr>
            <w:tcW w:w="2683" w:type="dxa"/>
            <w:tcBorders>
              <w:top w:val="nil"/>
              <w:left w:val="nil"/>
              <w:bottom w:val="single" w:color="000000" w:sz="4" w:space="0"/>
              <w:right w:val="single" w:color="000000" w:sz="4" w:space="0"/>
            </w:tcBorders>
            <w:vAlign w:val="center"/>
          </w:tcPr>
          <w:p>
            <w:pPr>
              <w:jc w:val="center"/>
            </w:pPr>
            <w:r>
              <w:rPr>
                <w:rFonts w:hint="eastAsia" w:ascii="宋体" w:hAnsi="宋体"/>
                <w:szCs w:val="21"/>
              </w:rPr>
              <w:t>1</w:t>
            </w:r>
            <w:r>
              <w:rPr>
                <w:rFonts w:ascii="宋体" w:hAnsi="宋体"/>
                <w:szCs w:val="21"/>
              </w:rPr>
              <w:t>6.5038</w:t>
            </w:r>
            <w:r>
              <w:rPr>
                <w:rFonts w:hint="eastAsia" w:ascii="宋体" w:hAnsi="宋体"/>
                <w:szCs w:val="21"/>
              </w:rPr>
              <w:t>万元</w:t>
            </w:r>
          </w:p>
        </w:tc>
      </w:tr>
    </w:tbl>
    <w:p>
      <w:pPr>
        <w:spacing w:line="360" w:lineRule="auto"/>
        <w:rPr>
          <w:rFonts w:hint="eastAsia"/>
          <w:sz w:val="24"/>
        </w:rPr>
      </w:pPr>
    </w:p>
    <w:p>
      <w:pPr>
        <w:spacing w:line="360" w:lineRule="auto"/>
        <w:ind w:firstLine="420"/>
        <w:rPr>
          <w:sz w:val="24"/>
        </w:rPr>
      </w:pPr>
      <w:r>
        <w:rPr>
          <w:rFonts w:hint="eastAsia"/>
          <w:sz w:val="24"/>
        </w:rPr>
        <w:t>最高限价：人民币</w:t>
      </w:r>
      <w:r>
        <w:rPr>
          <w:rFonts w:hint="eastAsia"/>
          <w:sz w:val="24"/>
          <w:lang w:val="en-US" w:eastAsia="zh-CN"/>
        </w:rPr>
        <w:t>16.5038万元</w:t>
      </w:r>
      <w:r>
        <w:rPr>
          <w:rFonts w:hint="eastAsia"/>
          <w:sz w:val="24"/>
        </w:rPr>
        <w:t>。</w:t>
      </w:r>
    </w:p>
    <w:p>
      <w:pPr>
        <w:spacing w:line="360" w:lineRule="auto"/>
        <w:ind w:firstLine="420"/>
        <w:rPr>
          <w:sz w:val="24"/>
        </w:rPr>
      </w:pPr>
      <w:r>
        <w:rPr>
          <w:rFonts w:hint="eastAsia"/>
          <w:sz w:val="24"/>
        </w:rPr>
        <w:t>超过最高限价则视为响应无效。</w:t>
      </w:r>
    </w:p>
    <w:p>
      <w:pPr>
        <w:spacing w:line="360" w:lineRule="auto"/>
        <w:ind w:firstLine="420"/>
        <w:rPr>
          <w:rFonts w:hint="eastAsia"/>
          <w:sz w:val="24"/>
        </w:rPr>
      </w:pPr>
      <w:r>
        <w:rPr>
          <w:rFonts w:hint="eastAsia"/>
          <w:sz w:val="24"/>
        </w:rPr>
        <w:t>响应人必须对本项目全部采购内容进行响应，如有缺漏，将导致响应无效。如响应报价超出最高限价，将导致响应无效。</w:t>
      </w:r>
    </w:p>
    <w:p>
      <w:pPr>
        <w:spacing w:line="360" w:lineRule="auto"/>
        <w:ind w:firstLine="420"/>
        <w:rPr>
          <w:rFonts w:hint="eastAsia"/>
          <w:sz w:val="24"/>
        </w:rPr>
      </w:pPr>
    </w:p>
    <w:p>
      <w:pPr>
        <w:spacing w:line="360" w:lineRule="auto"/>
        <w:ind w:firstLine="420"/>
        <w:jc w:val="center"/>
        <w:rPr>
          <w:rFonts w:hint="default" w:eastAsiaTheme="minorEastAsia"/>
          <w:sz w:val="24"/>
          <w:lang w:val="en-US" w:eastAsia="zh-CN"/>
        </w:rPr>
      </w:pPr>
      <w:r>
        <w:rPr>
          <w:rFonts w:hint="eastAsia"/>
          <w:sz w:val="24"/>
        </w:rPr>
        <w:t>医用气体</w:t>
      </w:r>
      <w:r>
        <w:rPr>
          <w:rFonts w:hint="eastAsia"/>
          <w:sz w:val="24"/>
          <w:lang w:val="en-US" w:eastAsia="zh-CN"/>
        </w:rPr>
        <w:t>采购限价清单</w:t>
      </w:r>
    </w:p>
    <w:tbl>
      <w:tblPr>
        <w:tblStyle w:val="6"/>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187"/>
        <w:gridCol w:w="1183"/>
        <w:gridCol w:w="858"/>
        <w:gridCol w:w="850"/>
        <w:gridCol w:w="697"/>
        <w:gridCol w:w="957"/>
        <w:gridCol w:w="1114"/>
        <w:gridCol w:w="937"/>
        <w:gridCol w:w="806"/>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49" w:type="pct"/>
            <w:noWrap/>
            <w:vAlign w:val="center"/>
          </w:tcPr>
          <w:p>
            <w:pPr>
              <w:widowControl/>
              <w:jc w:val="center"/>
              <w:rPr>
                <w:rFonts w:ascii="宋体" w:hAnsi="宋体" w:cs="宋体"/>
                <w:b/>
                <w:bCs/>
                <w:kern w:val="0"/>
                <w:sz w:val="19"/>
                <w:szCs w:val="19"/>
              </w:rPr>
            </w:pPr>
            <w:bookmarkStart w:id="0" w:name="_Hlk183124552"/>
            <w:r>
              <w:rPr>
                <w:rFonts w:hint="eastAsia" w:ascii="宋体" w:hAnsi="宋体" w:cs="宋体"/>
                <w:b/>
                <w:bCs/>
                <w:kern w:val="0"/>
                <w:sz w:val="19"/>
                <w:szCs w:val="19"/>
              </w:rPr>
              <w:t>序号</w:t>
            </w:r>
          </w:p>
        </w:tc>
        <w:tc>
          <w:tcPr>
            <w:tcW w:w="589"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产品名称</w:t>
            </w:r>
          </w:p>
        </w:tc>
        <w:tc>
          <w:tcPr>
            <w:tcW w:w="587"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纯度</w:t>
            </w:r>
          </w:p>
        </w:tc>
        <w:tc>
          <w:tcPr>
            <w:tcW w:w="426"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规格</w:t>
            </w:r>
          </w:p>
        </w:tc>
        <w:tc>
          <w:tcPr>
            <w:tcW w:w="422" w:type="pct"/>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产地</w:t>
            </w:r>
          </w:p>
        </w:tc>
        <w:tc>
          <w:tcPr>
            <w:tcW w:w="346" w:type="pct"/>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品牌</w:t>
            </w:r>
          </w:p>
        </w:tc>
        <w:tc>
          <w:tcPr>
            <w:tcW w:w="475"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单位</w:t>
            </w:r>
          </w:p>
        </w:tc>
        <w:tc>
          <w:tcPr>
            <w:tcW w:w="553"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约使用量（</w:t>
            </w:r>
            <w:r>
              <w:rPr>
                <w:rFonts w:ascii="宋体" w:hAnsi="宋体" w:cs="宋体"/>
                <w:b/>
                <w:bCs/>
                <w:kern w:val="0"/>
                <w:sz w:val="19"/>
                <w:szCs w:val="19"/>
              </w:rPr>
              <w:t>2</w:t>
            </w:r>
            <w:r>
              <w:rPr>
                <w:rFonts w:hint="eastAsia" w:ascii="宋体" w:hAnsi="宋体" w:cs="宋体"/>
                <w:b/>
                <w:bCs/>
                <w:kern w:val="0"/>
                <w:sz w:val="19"/>
                <w:szCs w:val="19"/>
              </w:rPr>
              <w:t>月）</w:t>
            </w:r>
          </w:p>
        </w:tc>
        <w:tc>
          <w:tcPr>
            <w:tcW w:w="465" w:type="pct"/>
            <w:noWrap/>
            <w:vAlign w:val="center"/>
          </w:tcPr>
          <w:p>
            <w:pPr>
              <w:widowControl/>
              <w:jc w:val="center"/>
              <w:rPr>
                <w:rFonts w:ascii="宋体" w:hAnsi="宋体" w:cs="宋体"/>
                <w:b/>
                <w:bCs/>
                <w:kern w:val="0"/>
                <w:sz w:val="19"/>
                <w:szCs w:val="19"/>
              </w:rPr>
            </w:pPr>
            <w:r>
              <w:rPr>
                <w:rFonts w:hint="eastAsia" w:ascii="宋体" w:hAnsi="宋体" w:cs="宋体"/>
                <w:b/>
                <w:sz w:val="19"/>
                <w:szCs w:val="19"/>
              </w:rPr>
              <w:t>★</w:t>
            </w:r>
            <w:r>
              <w:rPr>
                <w:rFonts w:hint="eastAsia" w:ascii="宋体" w:hAnsi="宋体" w:cs="宋体"/>
                <w:b/>
                <w:bCs/>
                <w:kern w:val="0"/>
                <w:sz w:val="19"/>
                <w:szCs w:val="19"/>
              </w:rPr>
              <w:t>单价限价（元/瓶、元/公斤）</w:t>
            </w:r>
          </w:p>
        </w:tc>
        <w:tc>
          <w:tcPr>
            <w:tcW w:w="400" w:type="pct"/>
            <w:vAlign w:val="center"/>
          </w:tcPr>
          <w:p>
            <w:pPr>
              <w:widowControl/>
              <w:jc w:val="center"/>
              <w:rPr>
                <w:rFonts w:ascii="宋体" w:hAnsi="宋体" w:cs="宋体"/>
                <w:b/>
                <w:sz w:val="19"/>
                <w:szCs w:val="19"/>
              </w:rPr>
            </w:pPr>
          </w:p>
        </w:tc>
        <w:tc>
          <w:tcPr>
            <w:tcW w:w="489" w:type="pct"/>
            <w:vAlign w:val="center"/>
          </w:tcPr>
          <w:p>
            <w:pPr>
              <w:widowControl/>
              <w:jc w:val="center"/>
              <w:rPr>
                <w:rFonts w:ascii="宋体" w:hAnsi="宋体" w:cs="宋体"/>
                <w:b/>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4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1</w:t>
            </w:r>
          </w:p>
        </w:tc>
        <w:tc>
          <w:tcPr>
            <w:tcW w:w="58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医用氧（气态）</w:t>
            </w:r>
          </w:p>
        </w:tc>
        <w:tc>
          <w:tcPr>
            <w:tcW w:w="58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≥99.5%</w:t>
            </w:r>
          </w:p>
        </w:tc>
        <w:tc>
          <w:tcPr>
            <w:tcW w:w="42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2L—15L</w:t>
            </w:r>
          </w:p>
        </w:tc>
        <w:tc>
          <w:tcPr>
            <w:tcW w:w="422" w:type="pct"/>
          </w:tcPr>
          <w:p>
            <w:pPr>
              <w:widowControl/>
              <w:jc w:val="center"/>
              <w:rPr>
                <w:rFonts w:ascii="宋体" w:hAnsi="宋体" w:cs="宋体"/>
                <w:kern w:val="0"/>
                <w:sz w:val="19"/>
                <w:szCs w:val="19"/>
              </w:rPr>
            </w:pPr>
          </w:p>
        </w:tc>
        <w:tc>
          <w:tcPr>
            <w:tcW w:w="346" w:type="pct"/>
          </w:tcPr>
          <w:p>
            <w:pPr>
              <w:widowControl/>
              <w:jc w:val="center"/>
              <w:rPr>
                <w:rFonts w:ascii="宋体" w:hAnsi="宋体" w:cs="宋体"/>
                <w:kern w:val="0"/>
                <w:sz w:val="19"/>
                <w:szCs w:val="19"/>
              </w:rPr>
            </w:pPr>
          </w:p>
        </w:tc>
        <w:tc>
          <w:tcPr>
            <w:tcW w:w="475"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553" w:type="pct"/>
            <w:noWrap/>
            <w:vAlign w:val="center"/>
          </w:tcPr>
          <w:p>
            <w:pPr>
              <w:jc w:val="center"/>
              <w:rPr>
                <w:rFonts w:ascii="宋体" w:hAnsi="宋体" w:cs="宋体"/>
                <w:kern w:val="0"/>
                <w:sz w:val="19"/>
                <w:szCs w:val="19"/>
              </w:rPr>
            </w:pPr>
            <w:r>
              <w:rPr>
                <w:rFonts w:hint="eastAsia" w:ascii="宋体" w:hAnsi="宋体" w:cs="宋体"/>
                <w:kern w:val="0"/>
                <w:sz w:val="19"/>
                <w:szCs w:val="19"/>
              </w:rPr>
              <w:t>4</w:t>
            </w:r>
            <w:r>
              <w:rPr>
                <w:rFonts w:ascii="宋体" w:hAnsi="宋体" w:cs="宋体"/>
                <w:kern w:val="0"/>
                <w:sz w:val="19"/>
                <w:szCs w:val="19"/>
              </w:rPr>
              <w:t>3</w:t>
            </w:r>
          </w:p>
        </w:tc>
        <w:tc>
          <w:tcPr>
            <w:tcW w:w="465" w:type="pct"/>
            <w:noWrap/>
            <w:vAlign w:val="center"/>
          </w:tcPr>
          <w:p>
            <w:pPr>
              <w:widowControl/>
              <w:jc w:val="center"/>
              <w:rPr>
                <w:rFonts w:ascii="宋体" w:hAnsi="宋体" w:cs="宋体"/>
                <w:kern w:val="0"/>
                <w:sz w:val="19"/>
                <w:szCs w:val="19"/>
              </w:rPr>
            </w:pPr>
            <w:r>
              <w:rPr>
                <w:rFonts w:ascii="宋体" w:hAnsi="宋体" w:cs="宋体"/>
                <w:kern w:val="0"/>
                <w:sz w:val="19"/>
                <w:szCs w:val="19"/>
              </w:rPr>
              <w:t>26</w:t>
            </w:r>
            <w:r>
              <w:rPr>
                <w:rFonts w:hint="eastAsia" w:ascii="宋体" w:hAnsi="宋体" w:cs="宋体"/>
                <w:kern w:val="0"/>
                <w:sz w:val="19"/>
                <w:szCs w:val="19"/>
              </w:rPr>
              <w:t>元/瓶</w:t>
            </w:r>
          </w:p>
        </w:tc>
        <w:tc>
          <w:tcPr>
            <w:tcW w:w="400" w:type="pct"/>
          </w:tcPr>
          <w:p>
            <w:pPr>
              <w:widowControl/>
              <w:jc w:val="center"/>
              <w:rPr>
                <w:rFonts w:ascii="宋体" w:hAnsi="宋体" w:cs="宋体"/>
                <w:kern w:val="0"/>
                <w:sz w:val="19"/>
                <w:szCs w:val="19"/>
              </w:rPr>
            </w:pPr>
          </w:p>
        </w:tc>
        <w:tc>
          <w:tcPr>
            <w:tcW w:w="489" w:type="pct"/>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9" w:type="pct"/>
            <w:noWrap/>
            <w:vAlign w:val="center"/>
          </w:tcPr>
          <w:p>
            <w:pPr>
              <w:widowControl/>
              <w:jc w:val="center"/>
              <w:rPr>
                <w:rFonts w:ascii="宋体" w:hAnsi="宋体" w:cs="宋体"/>
                <w:kern w:val="0"/>
                <w:sz w:val="19"/>
                <w:szCs w:val="19"/>
              </w:rPr>
            </w:pPr>
            <w:r>
              <w:rPr>
                <w:rFonts w:ascii="宋体" w:hAnsi="宋体" w:cs="宋体"/>
                <w:kern w:val="0"/>
                <w:sz w:val="19"/>
                <w:szCs w:val="19"/>
              </w:rPr>
              <w:t>2</w:t>
            </w:r>
          </w:p>
        </w:tc>
        <w:tc>
          <w:tcPr>
            <w:tcW w:w="58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医用氧（气态）</w:t>
            </w:r>
          </w:p>
        </w:tc>
        <w:tc>
          <w:tcPr>
            <w:tcW w:w="58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≥99.5%</w:t>
            </w:r>
          </w:p>
        </w:tc>
        <w:tc>
          <w:tcPr>
            <w:tcW w:w="42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20L-40L</w:t>
            </w:r>
          </w:p>
        </w:tc>
        <w:tc>
          <w:tcPr>
            <w:tcW w:w="422" w:type="pct"/>
          </w:tcPr>
          <w:p>
            <w:pPr>
              <w:widowControl/>
              <w:jc w:val="center"/>
              <w:rPr>
                <w:rFonts w:ascii="宋体" w:hAnsi="宋体" w:cs="宋体"/>
                <w:kern w:val="0"/>
                <w:sz w:val="19"/>
                <w:szCs w:val="19"/>
              </w:rPr>
            </w:pPr>
          </w:p>
        </w:tc>
        <w:tc>
          <w:tcPr>
            <w:tcW w:w="346" w:type="pct"/>
          </w:tcPr>
          <w:p>
            <w:pPr>
              <w:widowControl/>
              <w:jc w:val="center"/>
              <w:rPr>
                <w:rFonts w:ascii="宋体" w:hAnsi="宋体" w:cs="宋体"/>
                <w:kern w:val="0"/>
                <w:sz w:val="19"/>
                <w:szCs w:val="19"/>
              </w:rPr>
            </w:pPr>
          </w:p>
        </w:tc>
        <w:tc>
          <w:tcPr>
            <w:tcW w:w="475"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553" w:type="pct"/>
            <w:noWrap/>
            <w:vAlign w:val="center"/>
          </w:tcPr>
          <w:p>
            <w:pPr>
              <w:jc w:val="center"/>
              <w:rPr>
                <w:rFonts w:ascii="宋体" w:hAnsi="宋体" w:cs="宋体"/>
                <w:kern w:val="0"/>
                <w:sz w:val="19"/>
                <w:szCs w:val="19"/>
              </w:rPr>
            </w:pPr>
            <w:r>
              <w:rPr>
                <w:rFonts w:hint="eastAsia" w:ascii="宋体" w:hAnsi="宋体" w:cs="宋体"/>
                <w:kern w:val="0"/>
                <w:sz w:val="19"/>
                <w:szCs w:val="19"/>
              </w:rPr>
              <w:t>2</w:t>
            </w:r>
            <w:r>
              <w:rPr>
                <w:rFonts w:ascii="宋体" w:hAnsi="宋体" w:cs="宋体"/>
                <w:kern w:val="0"/>
                <w:sz w:val="19"/>
                <w:szCs w:val="19"/>
              </w:rPr>
              <w:t>0</w:t>
            </w:r>
          </w:p>
        </w:tc>
        <w:tc>
          <w:tcPr>
            <w:tcW w:w="465" w:type="pct"/>
            <w:noWrap/>
            <w:vAlign w:val="center"/>
          </w:tcPr>
          <w:p>
            <w:pPr>
              <w:widowControl/>
              <w:jc w:val="center"/>
              <w:rPr>
                <w:rFonts w:ascii="宋体" w:hAnsi="宋体" w:cs="宋体"/>
                <w:kern w:val="0"/>
                <w:sz w:val="19"/>
                <w:szCs w:val="19"/>
              </w:rPr>
            </w:pPr>
            <w:r>
              <w:rPr>
                <w:rFonts w:ascii="宋体" w:hAnsi="宋体" w:cs="宋体"/>
                <w:kern w:val="0"/>
                <w:sz w:val="19"/>
                <w:szCs w:val="19"/>
              </w:rPr>
              <w:t>30</w:t>
            </w:r>
            <w:r>
              <w:rPr>
                <w:rFonts w:hint="eastAsia" w:ascii="宋体" w:hAnsi="宋体" w:cs="宋体"/>
                <w:kern w:val="0"/>
                <w:sz w:val="19"/>
                <w:szCs w:val="19"/>
              </w:rPr>
              <w:t>元/瓶</w:t>
            </w:r>
          </w:p>
        </w:tc>
        <w:tc>
          <w:tcPr>
            <w:tcW w:w="400" w:type="pct"/>
          </w:tcPr>
          <w:p>
            <w:pPr>
              <w:widowControl/>
              <w:jc w:val="center"/>
              <w:rPr>
                <w:rFonts w:ascii="宋体" w:hAnsi="宋体" w:cs="宋体"/>
                <w:kern w:val="0"/>
                <w:sz w:val="19"/>
                <w:szCs w:val="19"/>
              </w:rPr>
            </w:pPr>
          </w:p>
        </w:tc>
        <w:tc>
          <w:tcPr>
            <w:tcW w:w="489" w:type="pct"/>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9" w:type="pct"/>
            <w:noWrap/>
            <w:vAlign w:val="center"/>
          </w:tcPr>
          <w:p>
            <w:pPr>
              <w:widowControl/>
              <w:jc w:val="center"/>
              <w:rPr>
                <w:rFonts w:ascii="宋体" w:hAnsi="宋体" w:cs="宋体"/>
                <w:kern w:val="0"/>
                <w:sz w:val="19"/>
                <w:szCs w:val="19"/>
              </w:rPr>
            </w:pPr>
            <w:r>
              <w:rPr>
                <w:rFonts w:ascii="宋体" w:hAnsi="宋体" w:cs="宋体"/>
                <w:kern w:val="0"/>
                <w:sz w:val="19"/>
                <w:szCs w:val="19"/>
              </w:rPr>
              <w:t>3</w:t>
            </w:r>
          </w:p>
        </w:tc>
        <w:tc>
          <w:tcPr>
            <w:tcW w:w="58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医用氧（液态）</w:t>
            </w:r>
          </w:p>
        </w:tc>
        <w:tc>
          <w:tcPr>
            <w:tcW w:w="58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≥99.5%</w:t>
            </w:r>
          </w:p>
        </w:tc>
        <w:tc>
          <w:tcPr>
            <w:tcW w:w="42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槽车灌氧</w:t>
            </w:r>
          </w:p>
        </w:tc>
        <w:tc>
          <w:tcPr>
            <w:tcW w:w="422" w:type="pct"/>
          </w:tcPr>
          <w:p>
            <w:pPr>
              <w:widowControl/>
              <w:jc w:val="center"/>
              <w:rPr>
                <w:rFonts w:ascii="宋体" w:hAnsi="宋体" w:cs="宋体"/>
                <w:kern w:val="0"/>
                <w:sz w:val="19"/>
                <w:szCs w:val="19"/>
              </w:rPr>
            </w:pPr>
          </w:p>
        </w:tc>
        <w:tc>
          <w:tcPr>
            <w:tcW w:w="346" w:type="pct"/>
          </w:tcPr>
          <w:p>
            <w:pPr>
              <w:widowControl/>
              <w:jc w:val="center"/>
              <w:rPr>
                <w:rFonts w:ascii="宋体" w:hAnsi="宋体" w:cs="宋体"/>
                <w:kern w:val="0"/>
                <w:sz w:val="19"/>
                <w:szCs w:val="19"/>
              </w:rPr>
            </w:pPr>
          </w:p>
        </w:tc>
        <w:tc>
          <w:tcPr>
            <w:tcW w:w="475"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公斤</w:t>
            </w:r>
          </w:p>
        </w:tc>
        <w:tc>
          <w:tcPr>
            <w:tcW w:w="553" w:type="pct"/>
            <w:noWrap/>
            <w:vAlign w:val="center"/>
          </w:tcPr>
          <w:p>
            <w:pPr>
              <w:jc w:val="center"/>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35000</w:t>
            </w:r>
          </w:p>
        </w:tc>
        <w:tc>
          <w:tcPr>
            <w:tcW w:w="465" w:type="pct"/>
            <w:noWrap/>
            <w:vAlign w:val="center"/>
          </w:tcPr>
          <w:p>
            <w:pPr>
              <w:widowControl/>
              <w:jc w:val="center"/>
              <w:rPr>
                <w:rFonts w:ascii="宋体" w:hAnsi="宋体" w:cs="宋体"/>
                <w:kern w:val="0"/>
                <w:sz w:val="19"/>
                <w:szCs w:val="19"/>
              </w:rPr>
            </w:pPr>
            <w:r>
              <w:rPr>
                <w:rFonts w:ascii="宋体" w:hAnsi="宋体" w:cs="宋体"/>
                <w:kern w:val="0"/>
                <w:sz w:val="19"/>
                <w:szCs w:val="19"/>
              </w:rPr>
              <w:t>1.16</w:t>
            </w:r>
            <w:r>
              <w:rPr>
                <w:rFonts w:hint="eastAsia" w:ascii="宋体" w:hAnsi="宋体" w:cs="宋体"/>
                <w:kern w:val="0"/>
                <w:sz w:val="19"/>
                <w:szCs w:val="19"/>
              </w:rPr>
              <w:t>元/公斤</w:t>
            </w:r>
          </w:p>
        </w:tc>
        <w:tc>
          <w:tcPr>
            <w:tcW w:w="400" w:type="pct"/>
          </w:tcPr>
          <w:p>
            <w:pPr>
              <w:widowControl/>
              <w:jc w:val="center"/>
              <w:rPr>
                <w:rFonts w:ascii="宋体" w:hAnsi="宋体" w:cs="宋体"/>
                <w:kern w:val="0"/>
                <w:sz w:val="19"/>
                <w:szCs w:val="19"/>
              </w:rPr>
            </w:pPr>
          </w:p>
        </w:tc>
        <w:tc>
          <w:tcPr>
            <w:tcW w:w="489" w:type="pct"/>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4</w:t>
            </w:r>
          </w:p>
        </w:tc>
        <w:tc>
          <w:tcPr>
            <w:tcW w:w="58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食品级二氧化碳</w:t>
            </w:r>
          </w:p>
        </w:tc>
        <w:tc>
          <w:tcPr>
            <w:tcW w:w="58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≥99.9%</w:t>
            </w:r>
          </w:p>
        </w:tc>
        <w:tc>
          <w:tcPr>
            <w:tcW w:w="426" w:type="pct"/>
            <w:noWrap/>
          </w:tcPr>
          <w:p>
            <w:pPr>
              <w:widowControl/>
              <w:jc w:val="center"/>
              <w:rPr>
                <w:rFonts w:ascii="宋体" w:hAnsi="宋体" w:cs="宋体"/>
                <w:kern w:val="0"/>
                <w:sz w:val="19"/>
                <w:szCs w:val="19"/>
              </w:rPr>
            </w:pPr>
            <w:r>
              <w:rPr>
                <w:rFonts w:hint="eastAsia" w:ascii="宋体" w:hAnsi="宋体" w:cs="宋体"/>
                <w:kern w:val="0"/>
                <w:sz w:val="19"/>
                <w:szCs w:val="19"/>
              </w:rPr>
              <w:t>4</w:t>
            </w:r>
            <w:r>
              <w:rPr>
                <w:rFonts w:ascii="宋体" w:hAnsi="宋体" w:cs="宋体"/>
                <w:kern w:val="0"/>
                <w:sz w:val="19"/>
                <w:szCs w:val="19"/>
              </w:rPr>
              <w:t>0L</w:t>
            </w:r>
          </w:p>
        </w:tc>
        <w:tc>
          <w:tcPr>
            <w:tcW w:w="422" w:type="pct"/>
          </w:tcPr>
          <w:p>
            <w:pPr>
              <w:widowControl/>
              <w:jc w:val="center"/>
              <w:rPr>
                <w:rFonts w:ascii="宋体" w:hAnsi="宋体" w:cs="宋体"/>
                <w:kern w:val="0"/>
                <w:sz w:val="19"/>
                <w:szCs w:val="19"/>
              </w:rPr>
            </w:pPr>
          </w:p>
        </w:tc>
        <w:tc>
          <w:tcPr>
            <w:tcW w:w="346" w:type="pct"/>
          </w:tcPr>
          <w:p>
            <w:pPr>
              <w:widowControl/>
              <w:jc w:val="center"/>
              <w:rPr>
                <w:rFonts w:ascii="宋体" w:hAnsi="宋体" w:cs="宋体"/>
                <w:kern w:val="0"/>
                <w:sz w:val="19"/>
                <w:szCs w:val="19"/>
              </w:rPr>
            </w:pPr>
          </w:p>
        </w:tc>
        <w:tc>
          <w:tcPr>
            <w:tcW w:w="475"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553" w:type="pct"/>
            <w:noWrap/>
            <w:vAlign w:val="center"/>
          </w:tcPr>
          <w:p>
            <w:pPr>
              <w:jc w:val="center"/>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4</w:t>
            </w:r>
          </w:p>
        </w:tc>
        <w:tc>
          <w:tcPr>
            <w:tcW w:w="465"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180元/瓶</w:t>
            </w:r>
          </w:p>
        </w:tc>
        <w:tc>
          <w:tcPr>
            <w:tcW w:w="400" w:type="pct"/>
          </w:tcPr>
          <w:p>
            <w:pPr>
              <w:widowControl/>
              <w:jc w:val="center"/>
              <w:rPr>
                <w:rFonts w:ascii="宋体" w:hAnsi="宋体" w:cs="宋体"/>
                <w:kern w:val="0"/>
                <w:sz w:val="19"/>
                <w:szCs w:val="19"/>
              </w:rPr>
            </w:pPr>
          </w:p>
        </w:tc>
        <w:tc>
          <w:tcPr>
            <w:tcW w:w="489" w:type="pct"/>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24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5</w:t>
            </w:r>
          </w:p>
        </w:tc>
        <w:tc>
          <w:tcPr>
            <w:tcW w:w="58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混合气</w:t>
            </w:r>
          </w:p>
        </w:tc>
        <w:tc>
          <w:tcPr>
            <w:tcW w:w="58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0.3%CO+0.3%CH+21%O2+氮气N2平衡</w:t>
            </w:r>
          </w:p>
        </w:tc>
        <w:tc>
          <w:tcPr>
            <w:tcW w:w="42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10L</w:t>
            </w:r>
          </w:p>
        </w:tc>
        <w:tc>
          <w:tcPr>
            <w:tcW w:w="422" w:type="pct"/>
          </w:tcPr>
          <w:p>
            <w:pPr>
              <w:widowControl/>
              <w:jc w:val="center"/>
              <w:rPr>
                <w:rFonts w:ascii="宋体" w:hAnsi="宋体" w:cs="宋体"/>
                <w:kern w:val="0"/>
                <w:sz w:val="19"/>
                <w:szCs w:val="19"/>
              </w:rPr>
            </w:pPr>
          </w:p>
        </w:tc>
        <w:tc>
          <w:tcPr>
            <w:tcW w:w="346" w:type="pct"/>
          </w:tcPr>
          <w:p>
            <w:pPr>
              <w:widowControl/>
              <w:jc w:val="center"/>
              <w:rPr>
                <w:rFonts w:ascii="宋体" w:hAnsi="宋体" w:cs="宋体"/>
                <w:kern w:val="0"/>
                <w:sz w:val="19"/>
                <w:szCs w:val="19"/>
              </w:rPr>
            </w:pPr>
          </w:p>
        </w:tc>
        <w:tc>
          <w:tcPr>
            <w:tcW w:w="475"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553" w:type="pct"/>
            <w:noWrap/>
            <w:vAlign w:val="center"/>
          </w:tcPr>
          <w:p>
            <w:pPr>
              <w:jc w:val="center"/>
              <w:rPr>
                <w:rFonts w:ascii="宋体" w:hAnsi="宋体" w:cs="宋体"/>
                <w:kern w:val="0"/>
                <w:sz w:val="19"/>
                <w:szCs w:val="19"/>
              </w:rPr>
            </w:pPr>
            <w:r>
              <w:rPr>
                <w:rFonts w:hint="eastAsia" w:ascii="宋体" w:hAnsi="宋体" w:cs="宋体"/>
                <w:kern w:val="0"/>
                <w:sz w:val="19"/>
                <w:szCs w:val="19"/>
              </w:rPr>
              <w:t>3</w:t>
            </w:r>
          </w:p>
        </w:tc>
        <w:tc>
          <w:tcPr>
            <w:tcW w:w="465" w:type="pct"/>
            <w:noWrap/>
            <w:vAlign w:val="center"/>
          </w:tcPr>
          <w:p>
            <w:pPr>
              <w:widowControl/>
              <w:jc w:val="center"/>
              <w:rPr>
                <w:rFonts w:ascii="宋体" w:hAnsi="宋体" w:cs="宋体"/>
                <w:kern w:val="0"/>
                <w:sz w:val="19"/>
                <w:szCs w:val="19"/>
              </w:rPr>
            </w:pPr>
            <w:r>
              <w:rPr>
                <w:rFonts w:ascii="宋体" w:hAnsi="宋体" w:cs="宋体"/>
                <w:kern w:val="0"/>
                <w:sz w:val="19"/>
                <w:szCs w:val="19"/>
              </w:rPr>
              <w:t>1080</w:t>
            </w:r>
            <w:r>
              <w:rPr>
                <w:rFonts w:hint="eastAsia" w:ascii="宋体" w:hAnsi="宋体" w:cs="宋体"/>
                <w:kern w:val="0"/>
                <w:sz w:val="19"/>
                <w:szCs w:val="19"/>
              </w:rPr>
              <w:t>元/瓶</w:t>
            </w:r>
          </w:p>
        </w:tc>
        <w:tc>
          <w:tcPr>
            <w:tcW w:w="400" w:type="pct"/>
          </w:tcPr>
          <w:p>
            <w:pPr>
              <w:widowControl/>
              <w:jc w:val="center"/>
              <w:rPr>
                <w:rFonts w:ascii="宋体" w:hAnsi="宋体" w:cs="宋体"/>
                <w:kern w:val="0"/>
                <w:sz w:val="19"/>
                <w:szCs w:val="19"/>
              </w:rPr>
            </w:pPr>
          </w:p>
        </w:tc>
        <w:tc>
          <w:tcPr>
            <w:tcW w:w="489" w:type="pct"/>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6</w:t>
            </w:r>
          </w:p>
        </w:tc>
        <w:tc>
          <w:tcPr>
            <w:tcW w:w="589"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液氮</w:t>
            </w:r>
          </w:p>
        </w:tc>
        <w:tc>
          <w:tcPr>
            <w:tcW w:w="58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≥99.99%</w:t>
            </w:r>
          </w:p>
        </w:tc>
        <w:tc>
          <w:tcPr>
            <w:tcW w:w="42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w:t>
            </w:r>
          </w:p>
        </w:tc>
        <w:tc>
          <w:tcPr>
            <w:tcW w:w="422" w:type="pct"/>
          </w:tcPr>
          <w:p>
            <w:pPr>
              <w:widowControl/>
              <w:jc w:val="center"/>
              <w:rPr>
                <w:rFonts w:ascii="宋体" w:hAnsi="宋体" w:cs="宋体"/>
                <w:kern w:val="0"/>
                <w:sz w:val="19"/>
                <w:szCs w:val="19"/>
              </w:rPr>
            </w:pPr>
          </w:p>
        </w:tc>
        <w:tc>
          <w:tcPr>
            <w:tcW w:w="346" w:type="pct"/>
          </w:tcPr>
          <w:p>
            <w:pPr>
              <w:widowControl/>
              <w:jc w:val="center"/>
              <w:rPr>
                <w:rFonts w:ascii="宋体" w:hAnsi="宋体" w:cs="宋体"/>
                <w:kern w:val="0"/>
                <w:sz w:val="19"/>
                <w:szCs w:val="19"/>
              </w:rPr>
            </w:pPr>
          </w:p>
        </w:tc>
        <w:tc>
          <w:tcPr>
            <w:tcW w:w="475" w:type="pct"/>
            <w:noWrap/>
            <w:vAlign w:val="center"/>
          </w:tcPr>
          <w:p>
            <w:pPr>
              <w:widowControl/>
              <w:jc w:val="center"/>
              <w:rPr>
                <w:rFonts w:ascii="宋体" w:hAnsi="宋体" w:cs="宋体"/>
                <w:kern w:val="0"/>
                <w:sz w:val="19"/>
                <w:szCs w:val="19"/>
              </w:rPr>
            </w:pPr>
            <w:r>
              <w:rPr>
                <w:rFonts w:hint="eastAsia" w:ascii="仿宋" w:hAnsi="仿宋" w:eastAsia="仿宋" w:cs="仿宋"/>
                <w:sz w:val="24"/>
              </w:rPr>
              <w:t>公斤</w:t>
            </w:r>
          </w:p>
        </w:tc>
        <w:tc>
          <w:tcPr>
            <w:tcW w:w="553" w:type="pct"/>
            <w:noWrap/>
            <w:vAlign w:val="center"/>
          </w:tcPr>
          <w:p>
            <w:pPr>
              <w:jc w:val="center"/>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20</w:t>
            </w:r>
          </w:p>
        </w:tc>
        <w:tc>
          <w:tcPr>
            <w:tcW w:w="465"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8</w:t>
            </w:r>
            <w:r>
              <w:rPr>
                <w:rFonts w:hint="eastAsia" w:ascii="宋体" w:hAnsi="宋体" w:cs="宋体"/>
                <w:kern w:val="0"/>
                <w:sz w:val="19"/>
                <w:szCs w:val="19"/>
                <w:lang w:val="en-US" w:eastAsia="zh-CN"/>
              </w:rPr>
              <w:t>元</w:t>
            </w:r>
            <w:r>
              <w:rPr>
                <w:rFonts w:hint="eastAsia" w:ascii="宋体" w:hAnsi="宋体" w:cs="宋体"/>
                <w:kern w:val="0"/>
                <w:sz w:val="19"/>
                <w:szCs w:val="19"/>
              </w:rPr>
              <w:t>/公斤</w:t>
            </w:r>
          </w:p>
        </w:tc>
        <w:tc>
          <w:tcPr>
            <w:tcW w:w="400" w:type="pct"/>
          </w:tcPr>
          <w:p>
            <w:pPr>
              <w:widowControl/>
              <w:jc w:val="center"/>
              <w:rPr>
                <w:rFonts w:ascii="宋体" w:hAnsi="宋体" w:cs="宋体"/>
                <w:kern w:val="0"/>
                <w:sz w:val="19"/>
                <w:szCs w:val="19"/>
              </w:rPr>
            </w:pPr>
          </w:p>
        </w:tc>
        <w:tc>
          <w:tcPr>
            <w:tcW w:w="489" w:type="pct"/>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49" w:type="pct"/>
            <w:noWrap/>
            <w:vAlign w:val="center"/>
          </w:tcPr>
          <w:p>
            <w:pPr>
              <w:widowControl/>
              <w:jc w:val="center"/>
              <w:rPr>
                <w:rFonts w:ascii="宋体" w:hAnsi="宋体" w:cs="宋体"/>
                <w:kern w:val="0"/>
                <w:sz w:val="19"/>
                <w:szCs w:val="19"/>
              </w:rPr>
            </w:pPr>
          </w:p>
        </w:tc>
        <w:tc>
          <w:tcPr>
            <w:tcW w:w="589" w:type="pct"/>
            <w:noWrap/>
            <w:vAlign w:val="center"/>
          </w:tcPr>
          <w:p>
            <w:pPr>
              <w:widowControl/>
              <w:jc w:val="center"/>
              <w:rPr>
                <w:rFonts w:ascii="宋体" w:hAnsi="宋体" w:cs="宋体"/>
                <w:kern w:val="0"/>
                <w:sz w:val="19"/>
                <w:szCs w:val="19"/>
              </w:rPr>
            </w:pPr>
          </w:p>
        </w:tc>
        <w:tc>
          <w:tcPr>
            <w:tcW w:w="587" w:type="pct"/>
            <w:noWrap/>
            <w:vAlign w:val="center"/>
          </w:tcPr>
          <w:p>
            <w:pPr>
              <w:widowControl/>
              <w:jc w:val="center"/>
              <w:rPr>
                <w:rFonts w:ascii="宋体" w:hAnsi="宋体" w:cs="宋体"/>
                <w:kern w:val="0"/>
                <w:sz w:val="19"/>
                <w:szCs w:val="19"/>
              </w:rPr>
            </w:pPr>
          </w:p>
        </w:tc>
        <w:tc>
          <w:tcPr>
            <w:tcW w:w="426" w:type="pct"/>
            <w:noWrap/>
            <w:vAlign w:val="center"/>
          </w:tcPr>
          <w:p>
            <w:pPr>
              <w:widowControl/>
              <w:jc w:val="center"/>
              <w:rPr>
                <w:rFonts w:ascii="宋体" w:hAnsi="宋体" w:cs="宋体"/>
                <w:kern w:val="0"/>
                <w:sz w:val="19"/>
                <w:szCs w:val="19"/>
              </w:rPr>
            </w:pPr>
          </w:p>
        </w:tc>
        <w:tc>
          <w:tcPr>
            <w:tcW w:w="422" w:type="pct"/>
          </w:tcPr>
          <w:p>
            <w:pPr>
              <w:widowControl/>
              <w:jc w:val="center"/>
              <w:rPr>
                <w:rFonts w:ascii="宋体" w:hAnsi="宋体" w:cs="宋体"/>
                <w:kern w:val="0"/>
                <w:sz w:val="19"/>
                <w:szCs w:val="19"/>
              </w:rPr>
            </w:pPr>
          </w:p>
        </w:tc>
        <w:tc>
          <w:tcPr>
            <w:tcW w:w="346" w:type="pct"/>
          </w:tcPr>
          <w:p>
            <w:pPr>
              <w:widowControl/>
              <w:jc w:val="center"/>
              <w:rPr>
                <w:rFonts w:ascii="宋体" w:hAnsi="宋体" w:cs="宋体"/>
                <w:kern w:val="0"/>
                <w:sz w:val="19"/>
                <w:szCs w:val="19"/>
              </w:rPr>
            </w:pPr>
          </w:p>
        </w:tc>
        <w:tc>
          <w:tcPr>
            <w:tcW w:w="475" w:type="pct"/>
            <w:noWrap/>
            <w:vAlign w:val="center"/>
          </w:tcPr>
          <w:p>
            <w:pPr>
              <w:widowControl/>
              <w:jc w:val="center"/>
              <w:rPr>
                <w:rFonts w:ascii="宋体" w:hAnsi="宋体" w:cs="宋体"/>
                <w:kern w:val="0"/>
                <w:sz w:val="19"/>
                <w:szCs w:val="19"/>
              </w:rPr>
            </w:pPr>
          </w:p>
        </w:tc>
        <w:tc>
          <w:tcPr>
            <w:tcW w:w="553" w:type="pct"/>
            <w:noWrap/>
            <w:vAlign w:val="center"/>
          </w:tcPr>
          <w:p>
            <w:pPr>
              <w:jc w:val="center"/>
              <w:rPr>
                <w:rFonts w:ascii="宋体" w:hAnsi="宋体" w:cs="宋体"/>
                <w:sz w:val="19"/>
                <w:szCs w:val="19"/>
              </w:rPr>
            </w:pPr>
          </w:p>
        </w:tc>
        <w:tc>
          <w:tcPr>
            <w:tcW w:w="465" w:type="pct"/>
            <w:noWrap/>
            <w:vAlign w:val="center"/>
          </w:tcPr>
          <w:p>
            <w:pPr>
              <w:widowControl/>
              <w:jc w:val="center"/>
              <w:rPr>
                <w:rFonts w:ascii="宋体" w:hAnsi="宋体" w:cs="宋体"/>
                <w:kern w:val="0"/>
                <w:sz w:val="19"/>
                <w:szCs w:val="19"/>
              </w:rPr>
            </w:pPr>
          </w:p>
        </w:tc>
        <w:tc>
          <w:tcPr>
            <w:tcW w:w="400" w:type="pct"/>
          </w:tcPr>
          <w:p>
            <w:pPr>
              <w:widowControl/>
              <w:jc w:val="center"/>
              <w:rPr>
                <w:rFonts w:ascii="宋体" w:hAnsi="宋体" w:cs="宋体"/>
                <w:kern w:val="0"/>
                <w:sz w:val="19"/>
                <w:szCs w:val="19"/>
              </w:rPr>
            </w:pPr>
          </w:p>
        </w:tc>
        <w:tc>
          <w:tcPr>
            <w:tcW w:w="489" w:type="pct"/>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093" w:type="pct"/>
            <w:gridSpan w:val="7"/>
            <w:vAlign w:val="center"/>
          </w:tcPr>
          <w:p>
            <w:pPr>
              <w:widowControl/>
              <w:rPr>
                <w:rFonts w:ascii="宋体" w:hAnsi="宋体" w:cs="宋体"/>
                <w:kern w:val="0"/>
                <w:sz w:val="19"/>
                <w:szCs w:val="19"/>
              </w:rPr>
            </w:pPr>
            <w:r>
              <w:rPr>
                <w:rFonts w:hint="eastAsia" w:ascii="宋体" w:hAnsi="宋体" w:cs="宋体"/>
                <w:kern w:val="0"/>
                <w:sz w:val="19"/>
                <w:szCs w:val="19"/>
              </w:rPr>
              <w:t>分项报价=以上所有货物×1个月</w:t>
            </w:r>
          </w:p>
        </w:tc>
        <w:tc>
          <w:tcPr>
            <w:tcW w:w="1907" w:type="pct"/>
            <w:gridSpan w:val="4"/>
            <w:noWrap/>
            <w:vAlign w:val="center"/>
          </w:tcPr>
          <w:p>
            <w:pPr>
              <w:widowControl/>
              <w:rPr>
                <w:rFonts w:ascii="宋体" w:hAnsi="宋体" w:cs="宋体"/>
                <w:kern w:val="0"/>
                <w:sz w:val="19"/>
                <w:szCs w:val="19"/>
              </w:rPr>
            </w:pPr>
            <w:r>
              <w:rPr>
                <w:rFonts w:hint="eastAsia" w:ascii="宋体" w:hAnsi="宋体" w:cs="宋体"/>
                <w:kern w:val="0"/>
                <w:sz w:val="19"/>
                <w:szCs w:val="19"/>
              </w:rPr>
              <w:t>小写：</w:t>
            </w:r>
            <w:r>
              <w:rPr>
                <w:rFonts w:ascii="宋体" w:hAnsi="宋体" w:cs="宋体"/>
                <w:kern w:val="0"/>
                <w:sz w:val="19"/>
                <w:szCs w:val="19"/>
              </w:rPr>
              <w:t>82519.00</w:t>
            </w:r>
          </w:p>
          <w:p>
            <w:pPr>
              <w:widowControl/>
              <w:rPr>
                <w:rFonts w:ascii="宋体" w:hAnsi="宋体" w:cs="宋体"/>
                <w:kern w:val="0"/>
                <w:sz w:val="19"/>
                <w:szCs w:val="19"/>
              </w:rPr>
            </w:pPr>
            <w:r>
              <w:rPr>
                <w:rFonts w:hint="eastAsia" w:ascii="宋体" w:hAnsi="宋体" w:cs="宋体"/>
                <w:kern w:val="0"/>
                <w:sz w:val="19"/>
                <w:szCs w:val="19"/>
              </w:rPr>
              <w:t>大写：捌万贰仟伍佰壹拾玖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093" w:type="pct"/>
            <w:gridSpan w:val="7"/>
            <w:vAlign w:val="center"/>
          </w:tcPr>
          <w:p>
            <w:pPr>
              <w:widowControl/>
              <w:rPr>
                <w:rFonts w:ascii="宋体" w:hAnsi="宋体" w:cs="宋体"/>
                <w:kern w:val="0"/>
                <w:sz w:val="19"/>
                <w:szCs w:val="19"/>
              </w:rPr>
            </w:pPr>
            <w:r>
              <w:rPr>
                <w:rFonts w:hint="eastAsia" w:ascii="宋体" w:hAnsi="宋体" w:cs="宋体"/>
                <w:kern w:val="0"/>
                <w:sz w:val="19"/>
                <w:szCs w:val="19"/>
              </w:rPr>
              <w:t>★最高限价=以上所有货物×2个月</w:t>
            </w:r>
          </w:p>
        </w:tc>
        <w:tc>
          <w:tcPr>
            <w:tcW w:w="1907" w:type="pct"/>
            <w:gridSpan w:val="4"/>
            <w:noWrap/>
            <w:vAlign w:val="center"/>
          </w:tcPr>
          <w:p>
            <w:pPr>
              <w:widowControl/>
              <w:ind w:firstLine="380" w:firstLineChars="200"/>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6.5038</w:t>
            </w:r>
            <w:r>
              <w:rPr>
                <w:rFonts w:hint="eastAsia" w:ascii="宋体" w:hAnsi="宋体" w:cs="宋体"/>
                <w:kern w:val="0"/>
                <w:sz w:val="19"/>
                <w:szCs w:val="19"/>
              </w:rPr>
              <w:t>万元</w:t>
            </w:r>
          </w:p>
        </w:tc>
      </w:tr>
      <w:bookmarkEnd w:id="0"/>
    </w:tbl>
    <w:p>
      <w:pPr>
        <w:spacing w:line="360" w:lineRule="auto"/>
        <w:ind w:firstLine="420" w:firstLineChars="0"/>
        <w:rPr>
          <w:rFonts w:hint="eastAsia"/>
          <w:sz w:val="24"/>
        </w:rPr>
      </w:pPr>
    </w:p>
    <w:p>
      <w:pPr>
        <w:numPr>
          <w:ilvl w:val="0"/>
          <w:numId w:val="2"/>
        </w:numPr>
        <w:spacing w:line="360" w:lineRule="auto"/>
        <w:ind w:left="425" w:leftChars="0" w:hanging="425" w:firstLineChars="0"/>
        <w:rPr>
          <w:rFonts w:hint="eastAsia"/>
          <w:sz w:val="24"/>
          <w:lang w:val="en-US" w:eastAsia="zh-CN"/>
        </w:rPr>
      </w:pPr>
      <w:r>
        <w:rPr>
          <w:rFonts w:hint="eastAsia"/>
          <w:sz w:val="24"/>
          <w:lang w:val="en-US" w:eastAsia="zh-CN"/>
        </w:rPr>
        <w:t>报价方式与成交商确定方式</w:t>
      </w:r>
    </w:p>
    <w:p>
      <w:pPr>
        <w:numPr>
          <w:ilvl w:val="0"/>
          <w:numId w:val="0"/>
        </w:numPr>
        <w:spacing w:line="360" w:lineRule="auto"/>
        <w:ind w:leftChars="0"/>
        <w:rPr>
          <w:rFonts w:hint="default"/>
          <w:sz w:val="24"/>
          <w:lang w:val="en-US" w:eastAsia="zh-CN"/>
        </w:rPr>
      </w:pPr>
      <w:r>
        <w:rPr>
          <w:rFonts w:hint="default"/>
          <w:sz w:val="24"/>
          <w:lang w:val="en-US" w:eastAsia="zh-CN"/>
        </w:rPr>
        <w:t>1.供应商须以折扣率形式对本项目进行</w:t>
      </w:r>
      <w:r>
        <w:rPr>
          <w:rFonts w:hint="eastAsia"/>
          <w:sz w:val="24"/>
          <w:lang w:val="en-US" w:eastAsia="zh-CN"/>
        </w:rPr>
        <w:t>响应</w:t>
      </w:r>
      <w:r>
        <w:rPr>
          <w:rFonts w:hint="default"/>
          <w:sz w:val="24"/>
          <w:lang w:val="en-US" w:eastAsia="zh-CN"/>
        </w:rPr>
        <w:t>报价，对本项目产品单品单价报</w:t>
      </w:r>
      <w:r>
        <w:rPr>
          <w:rFonts w:hint="eastAsia"/>
          <w:sz w:val="24"/>
          <w:lang w:val="en-US" w:eastAsia="zh-CN"/>
        </w:rPr>
        <w:t>一个统一的响应</w:t>
      </w:r>
      <w:r>
        <w:rPr>
          <w:rFonts w:hint="default"/>
          <w:sz w:val="24"/>
          <w:lang w:val="en-US" w:eastAsia="zh-CN"/>
        </w:rPr>
        <w:t>折扣率。</w:t>
      </w:r>
    </w:p>
    <w:p>
      <w:pPr>
        <w:numPr>
          <w:ilvl w:val="0"/>
          <w:numId w:val="0"/>
        </w:numPr>
        <w:spacing w:line="360" w:lineRule="auto"/>
        <w:ind w:leftChars="0"/>
        <w:rPr>
          <w:rFonts w:hint="default"/>
          <w:sz w:val="24"/>
          <w:lang w:val="en-US" w:eastAsia="zh-CN"/>
        </w:rPr>
      </w:pPr>
      <w:r>
        <w:rPr>
          <w:rFonts w:hint="default"/>
          <w:sz w:val="24"/>
          <w:lang w:val="en-US" w:eastAsia="zh-CN"/>
        </w:rPr>
        <w:t>2.结算单价=产品的单价最高限价×成交折扣率（结算单价保留两位小数，不作四舍五入，即直接去除第三位小数点）。（如某供应商报价折扣率为90%，则结算单价=产品的单价限价×90%；如结算单价计算后为10.886或10.883，结算单价均取值为10.88。）</w:t>
      </w:r>
    </w:p>
    <w:p>
      <w:pPr>
        <w:numPr>
          <w:ilvl w:val="0"/>
          <w:numId w:val="0"/>
        </w:numPr>
        <w:spacing w:line="360" w:lineRule="auto"/>
        <w:ind w:leftChars="0"/>
        <w:rPr>
          <w:rFonts w:hint="default"/>
          <w:sz w:val="24"/>
          <w:lang w:val="en-US" w:eastAsia="zh-CN"/>
        </w:rPr>
      </w:pPr>
      <w:r>
        <w:rPr>
          <w:rFonts w:hint="eastAsia"/>
          <w:sz w:val="24"/>
          <w:lang w:val="en-US" w:eastAsia="zh-CN"/>
        </w:rPr>
        <w:t>3.成交商确定方式：确定满足采购人需求且所</w:t>
      </w:r>
      <w:r>
        <w:rPr>
          <w:rFonts w:hint="default"/>
          <w:sz w:val="24"/>
          <w:lang w:val="en-US" w:eastAsia="zh-CN"/>
        </w:rPr>
        <w:t>报</w:t>
      </w:r>
      <w:r>
        <w:rPr>
          <w:rFonts w:hint="eastAsia"/>
          <w:sz w:val="24"/>
          <w:lang w:val="en-US" w:eastAsia="zh-CN"/>
        </w:rPr>
        <w:t>响应</w:t>
      </w:r>
      <w:r>
        <w:rPr>
          <w:rFonts w:hint="default"/>
          <w:sz w:val="24"/>
          <w:lang w:val="en-US" w:eastAsia="zh-CN"/>
        </w:rPr>
        <w:t>折扣率</w:t>
      </w:r>
      <w:r>
        <w:rPr>
          <w:rFonts w:hint="eastAsia"/>
          <w:sz w:val="24"/>
          <w:lang w:val="en-US" w:eastAsia="zh-CN"/>
        </w:rPr>
        <w:t>最低的供应商为成交供应商。</w:t>
      </w:r>
      <w:bookmarkStart w:id="4" w:name="_GoBack"/>
      <w:bookmarkEnd w:id="4"/>
    </w:p>
    <w:p>
      <w:pPr>
        <w:spacing w:line="360" w:lineRule="auto"/>
        <w:rPr>
          <w:rFonts w:hint="eastAsia"/>
          <w:sz w:val="24"/>
        </w:rPr>
      </w:pPr>
    </w:p>
    <w:p>
      <w:pPr>
        <w:numPr>
          <w:ilvl w:val="0"/>
          <w:numId w:val="2"/>
        </w:numPr>
        <w:spacing w:line="360" w:lineRule="auto"/>
        <w:ind w:left="425" w:hanging="425"/>
        <w:rPr>
          <w:sz w:val="24"/>
        </w:rPr>
      </w:pPr>
      <w:r>
        <w:rPr>
          <w:rFonts w:hint="eastAsia"/>
          <w:sz w:val="24"/>
          <w:lang w:val="en-US" w:eastAsia="zh-CN"/>
        </w:rPr>
        <w:t>采购需求</w:t>
      </w:r>
      <w:r>
        <w:rPr>
          <w:rFonts w:hint="eastAsia"/>
          <w:sz w:val="24"/>
        </w:rPr>
        <w:t>：</w:t>
      </w:r>
    </w:p>
    <w:p>
      <w:r>
        <w:rPr>
          <w:b/>
          <w:sz w:val="24"/>
        </w:rPr>
        <w:t>1.主要商务要求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8"/>
        <w:gridCol w:w="66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vAlign w:val="center"/>
          </w:tcPr>
          <w:p>
            <w:r>
              <w:t>标的提供的时间</w:t>
            </w:r>
          </w:p>
        </w:tc>
        <w:tc>
          <w:tcPr>
            <w:tcW w:w="6638" w:type="dxa"/>
            <w:vAlign w:val="center"/>
          </w:tcPr>
          <w:p>
            <w:r>
              <w:t>自签订合同后</w:t>
            </w:r>
            <w:r>
              <w:rPr>
                <w:rFonts w:hint="eastAsia"/>
              </w:rPr>
              <w:t>2个月</w:t>
            </w:r>
            <w: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vAlign w:val="center"/>
          </w:tcPr>
          <w:p>
            <w:r>
              <w:t>标的提供的地点</w:t>
            </w:r>
          </w:p>
        </w:tc>
        <w:tc>
          <w:tcPr>
            <w:tcW w:w="6638" w:type="dxa"/>
            <w:vAlign w:val="center"/>
          </w:tcPr>
          <w:p>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vAlign w:val="center"/>
          </w:tcPr>
          <w:p>
            <w:r>
              <w:t>付款方式</w:t>
            </w:r>
          </w:p>
        </w:tc>
        <w:tc>
          <w:tcPr>
            <w:tcW w:w="6638" w:type="dxa"/>
          </w:tcPr>
          <w:p>
            <w:pPr>
              <w:rPr>
                <w:rFonts w:hint="eastAsia"/>
              </w:rPr>
            </w:pPr>
            <w:r>
              <w:rPr>
                <w:rFonts w:hint="eastAsia"/>
              </w:rPr>
              <w:t>1</w:t>
            </w:r>
            <w:r>
              <w:rPr>
                <w:rFonts w:hint="eastAsia"/>
                <w:lang w:eastAsia="zh-CN"/>
              </w:rPr>
              <w:t>、</w:t>
            </w:r>
            <w:r>
              <w:rPr>
                <w:rFonts w:hint="eastAsia"/>
              </w:rPr>
              <w:t>每月的 25日为双方财务结算日。乙方须凭双方自己签字确认的数量、款项以及验收单据，开具相应发票后向甲方申请付款。乙方应就上一个月内向甲方交付的产品向甲方开具增值税发票。</w:t>
            </w:r>
          </w:p>
          <w:p>
            <w:pPr>
              <w:rPr>
                <w:rFonts w:hint="eastAsia"/>
              </w:rPr>
            </w:pPr>
            <w:r>
              <w:rPr>
                <w:rFonts w:hint="eastAsia"/>
                <w:lang w:val="en-US" w:eastAsia="zh-CN"/>
              </w:rPr>
              <w:t>2、</w:t>
            </w:r>
            <w:r>
              <w:rPr>
                <w:rFonts w:hint="eastAsia"/>
              </w:rPr>
              <w:t xml:space="preserve">甲方应于结算日后的60天之内向乙方付清 </w:t>
            </w:r>
            <w:r>
              <w:rPr>
                <w:rFonts w:hint="eastAsia"/>
                <w:lang w:val="en-US" w:eastAsia="zh-CN"/>
              </w:rPr>
              <w:t>1</w:t>
            </w:r>
            <w:r>
              <w:rPr>
                <w:rFonts w:hint="eastAsia"/>
              </w:rPr>
              <w:t xml:space="preserve"> 之款项，并支付至乙方指定的以下银行账户。</w:t>
            </w:r>
          </w:p>
          <w:p>
            <w:pPr>
              <w:rPr>
                <w:rFonts w:hint="eastAsia" w:eastAsiaTheme="minorEastAsia"/>
                <w:lang w:val="en-US" w:eastAsia="zh-CN"/>
              </w:rPr>
            </w:pPr>
            <w:r>
              <w:rPr>
                <w:rFonts w:hint="eastAsia"/>
                <w:lang w:val="en-US" w:eastAsia="zh-CN"/>
              </w:rPr>
              <w:t>3、合同期内结算总费用不超过16.5038万元。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vAlign w:val="center"/>
          </w:tcPr>
          <w:p>
            <w:r>
              <w:t>验收要求</w:t>
            </w:r>
          </w:p>
        </w:tc>
        <w:tc>
          <w:tcPr>
            <w:tcW w:w="6638" w:type="dxa"/>
          </w:tcPr>
          <w:p>
            <w:r>
              <w:t>按采购人要求。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8" w:type="dxa"/>
            <w:vAlign w:val="center"/>
          </w:tcPr>
          <w:p>
            <w:r>
              <w:t>其他</w:t>
            </w:r>
          </w:p>
        </w:tc>
        <w:tc>
          <w:tcPr>
            <w:tcW w:w="6638" w:type="dxa"/>
          </w:tcPr>
          <w:p>
            <w:r>
              <w:t>真实性和有效性:同意采购方以任何形式对</w:t>
            </w:r>
            <w:r>
              <w:rPr>
                <w:rFonts w:hint="eastAsia"/>
                <w:lang w:val="en-US" w:eastAsia="zh-CN"/>
              </w:rPr>
              <w:t>响应</w:t>
            </w:r>
            <w:r>
              <w:t>方</w:t>
            </w:r>
            <w:r>
              <w:rPr>
                <w:rFonts w:hint="eastAsia"/>
                <w:lang w:val="en-US" w:eastAsia="zh-CN"/>
              </w:rPr>
              <w:t>响应</w:t>
            </w:r>
            <w:r>
              <w:t>文件内容及采购方认为有必要的相关资料的真实性和有效性进行审查、验证。</w:t>
            </w:r>
          </w:p>
          <w:p/>
        </w:tc>
      </w:tr>
    </w:tbl>
    <w:p>
      <w:pPr>
        <w:widowControl/>
        <w:jc w:val="left"/>
        <w:rPr>
          <w:b/>
          <w:sz w:val="24"/>
        </w:rPr>
      </w:pPr>
      <w:r>
        <w:rPr>
          <w:b/>
          <w:sz w:val="24"/>
        </w:rPr>
        <w:br w:type="page"/>
      </w:r>
    </w:p>
    <w:p>
      <w:pPr>
        <w:ind w:firstLine="241" w:firstLineChars="100"/>
      </w:pPr>
      <w:r>
        <w:rPr>
          <w:rFonts w:hint="eastAsia"/>
          <w:b/>
          <w:sz w:val="24"/>
          <w:lang w:val="en-US" w:eastAsia="zh-CN"/>
        </w:rPr>
        <w:t>2.</w:t>
      </w:r>
      <w:r>
        <w:rPr>
          <w:rFonts w:hint="eastAsia"/>
          <w:b/>
          <w:sz w:val="24"/>
        </w:rPr>
        <w:t>具体技术(参数)要求</w:t>
      </w:r>
    </w:p>
    <w:tbl>
      <w:tblPr>
        <w:tblStyle w:val="6"/>
        <w:tblW w:w="959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4"/>
        <w:gridCol w:w="383"/>
        <w:gridCol w:w="84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r>
              <w:t>参数性质</w:t>
            </w:r>
          </w:p>
        </w:tc>
        <w:tc>
          <w:tcPr>
            <w:tcW w:w="383" w:type="dxa"/>
          </w:tcPr>
          <w:p>
            <w:r>
              <w:t>序号</w:t>
            </w:r>
          </w:p>
        </w:tc>
        <w:tc>
          <w:tcPr>
            <w:tcW w:w="8498"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pStyle w:val="24"/>
              <w:numPr>
                <w:ilvl w:val="0"/>
                <w:numId w:val="0"/>
              </w:numPr>
              <w:ind w:leftChars="0"/>
            </w:pPr>
          </w:p>
        </w:tc>
        <w:tc>
          <w:tcPr>
            <w:tcW w:w="8498" w:type="dxa"/>
          </w:tcPr>
          <w:p>
            <w:pPr>
              <w:tabs>
                <w:tab w:val="left" w:pos="420"/>
              </w:tabs>
              <w:outlineLvl w:val="1"/>
              <w:rPr>
                <w:rFonts w:ascii="宋体" w:hAnsi="宋体" w:cs="宋体"/>
                <w:b/>
                <w:bCs/>
                <w:sz w:val="19"/>
                <w:szCs w:val="19"/>
              </w:rPr>
            </w:pPr>
            <w:bookmarkStart w:id="1" w:name="_Toc163481896"/>
            <w:bookmarkStart w:id="2" w:name="_Toc325967941"/>
            <w:bookmarkStart w:id="3" w:name="_Toc395612791"/>
            <w:r>
              <w:rPr>
                <w:rFonts w:hint="eastAsia" w:ascii="宋体" w:hAnsi="宋体" w:cs="宋体"/>
                <w:b/>
                <w:bCs/>
                <w:sz w:val="19"/>
                <w:szCs w:val="19"/>
              </w:rPr>
              <w:t>（一）、</w:t>
            </w:r>
            <w:bookmarkEnd w:id="1"/>
            <w:r>
              <w:rPr>
                <w:rFonts w:hint="eastAsia" w:ascii="宋体" w:hAnsi="宋体" w:cs="宋体"/>
                <w:b/>
                <w:bCs/>
                <w:sz w:val="19"/>
                <w:szCs w:val="19"/>
              </w:rPr>
              <w:t>项目概述</w:t>
            </w:r>
            <w:bookmarkEnd w:id="2"/>
            <w:bookmarkEnd w:id="3"/>
          </w:p>
          <w:p>
            <w:pPr>
              <w:tabs>
                <w:tab w:val="left" w:pos="0"/>
                <w:tab w:val="left" w:pos="7920"/>
              </w:tabs>
            </w:pPr>
            <w:r>
              <w:rPr>
                <w:rFonts w:hint="eastAsia" w:ascii="宋体" w:hAnsi="宋体" w:cs="宋体"/>
                <w:sz w:val="19"/>
                <w:szCs w:val="19"/>
              </w:rPr>
              <w:t>本项目年约使用量如下表（以实际需用量供给），供应期限为2个月。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pStyle w:val="24"/>
              <w:numPr>
                <w:ilvl w:val="0"/>
                <w:numId w:val="0"/>
              </w:numPr>
              <w:ind w:leftChars="0"/>
            </w:pPr>
          </w:p>
        </w:tc>
        <w:tc>
          <w:tcPr>
            <w:tcW w:w="8498" w:type="dxa"/>
          </w:tcPr>
          <w:p>
            <w:pPr>
              <w:rPr>
                <w:rFonts w:ascii="宋体" w:hAnsi="宋体" w:cs="宋体"/>
                <w:b/>
                <w:sz w:val="19"/>
                <w:szCs w:val="19"/>
              </w:rPr>
            </w:pPr>
            <w:r>
              <w:rPr>
                <w:rFonts w:hint="eastAsia" w:ascii="宋体" w:hAnsi="宋体" w:cs="宋体"/>
                <w:b/>
                <w:sz w:val="19"/>
                <w:szCs w:val="19"/>
              </w:rPr>
              <w:t>（1）医用氧供应清单</w:t>
            </w:r>
          </w:p>
          <w:tbl>
            <w:tblPr>
              <w:tblStyle w:val="6"/>
              <w:tblW w:w="3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152"/>
              <w:gridCol w:w="1148"/>
              <w:gridCol w:w="833"/>
              <w:gridCol w:w="929"/>
              <w:gridCol w:w="24"/>
              <w:gridCol w:w="1058"/>
              <w:gridCol w:w="901"/>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4"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序号</w:t>
                  </w:r>
                </w:p>
              </w:tc>
              <w:tc>
                <w:tcPr>
                  <w:tcW w:w="880"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产品名称</w:t>
                  </w:r>
                </w:p>
              </w:tc>
              <w:tc>
                <w:tcPr>
                  <w:tcW w:w="877"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纯度</w:t>
                  </w:r>
                </w:p>
              </w:tc>
              <w:tc>
                <w:tcPr>
                  <w:tcW w:w="636"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规格</w:t>
                  </w:r>
                </w:p>
              </w:tc>
              <w:tc>
                <w:tcPr>
                  <w:tcW w:w="710" w:type="pct"/>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单位</w:t>
                  </w:r>
                </w:p>
              </w:tc>
              <w:tc>
                <w:tcPr>
                  <w:tcW w:w="826" w:type="pct"/>
                  <w:gridSpan w:val="2"/>
                  <w:noWrap/>
                  <w:vAlign w:val="center"/>
                </w:tcPr>
                <w:p>
                  <w:pPr>
                    <w:widowControl/>
                    <w:jc w:val="center"/>
                    <w:rPr>
                      <w:rFonts w:ascii="宋体" w:hAnsi="宋体" w:cs="宋体"/>
                      <w:b/>
                      <w:bCs/>
                      <w:kern w:val="0"/>
                      <w:sz w:val="19"/>
                      <w:szCs w:val="19"/>
                    </w:rPr>
                  </w:pPr>
                  <w:r>
                    <w:rPr>
                      <w:rFonts w:hint="eastAsia" w:ascii="宋体" w:hAnsi="宋体" w:cs="宋体"/>
                      <w:b/>
                      <w:bCs/>
                      <w:kern w:val="0"/>
                      <w:sz w:val="19"/>
                      <w:szCs w:val="19"/>
                    </w:rPr>
                    <w:t>约使用量（</w:t>
                  </w:r>
                  <w:r>
                    <w:rPr>
                      <w:rFonts w:ascii="宋体" w:hAnsi="宋体" w:cs="宋体"/>
                      <w:b/>
                      <w:bCs/>
                      <w:kern w:val="0"/>
                      <w:sz w:val="19"/>
                      <w:szCs w:val="19"/>
                    </w:rPr>
                    <w:t>2</w:t>
                  </w:r>
                  <w:r>
                    <w:rPr>
                      <w:rFonts w:hint="eastAsia" w:ascii="宋体" w:hAnsi="宋体" w:cs="宋体"/>
                      <w:b/>
                      <w:bCs/>
                      <w:kern w:val="0"/>
                      <w:sz w:val="19"/>
                      <w:szCs w:val="19"/>
                      <w:lang w:val="en-US" w:eastAsia="zh-CN"/>
                    </w:rPr>
                    <w:t>个</w:t>
                  </w:r>
                  <w:r>
                    <w:rPr>
                      <w:rFonts w:hint="eastAsia" w:ascii="宋体" w:hAnsi="宋体" w:cs="宋体"/>
                      <w:b/>
                      <w:bCs/>
                      <w:kern w:val="0"/>
                      <w:sz w:val="19"/>
                      <w:szCs w:val="19"/>
                    </w:rPr>
                    <w:t>月）</w:t>
                  </w:r>
                </w:p>
              </w:tc>
              <w:tc>
                <w:tcPr>
                  <w:tcW w:w="696" w:type="pct"/>
                  <w:gridSpan w:val="2"/>
                  <w:noWrap/>
                  <w:vAlign w:val="center"/>
                </w:tcPr>
                <w:p>
                  <w:pPr>
                    <w:widowControl/>
                    <w:jc w:val="center"/>
                    <w:rPr>
                      <w:rFonts w:ascii="宋体" w:hAnsi="宋体" w:cs="宋体"/>
                      <w:b/>
                      <w:bCs/>
                      <w:kern w:val="0"/>
                      <w:sz w:val="19"/>
                      <w:szCs w:val="19"/>
                    </w:rPr>
                  </w:pPr>
                  <w:r>
                    <w:rPr>
                      <w:rFonts w:hint="eastAsia" w:ascii="宋体" w:hAnsi="宋体" w:cs="宋体"/>
                      <w:b/>
                      <w:sz w:val="19"/>
                      <w:szCs w:val="19"/>
                    </w:rPr>
                    <w:t>★</w:t>
                  </w:r>
                  <w:r>
                    <w:rPr>
                      <w:rFonts w:hint="eastAsia" w:ascii="宋体" w:hAnsi="宋体" w:cs="宋体"/>
                      <w:b/>
                      <w:bCs/>
                      <w:kern w:val="0"/>
                      <w:sz w:val="19"/>
                      <w:szCs w:val="19"/>
                    </w:rPr>
                    <w:t>单价限价（元/瓶、元/公斤）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74"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1</w:t>
                  </w:r>
                </w:p>
              </w:tc>
              <w:tc>
                <w:tcPr>
                  <w:tcW w:w="88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医用氧（气态）</w:t>
                  </w:r>
                </w:p>
              </w:tc>
              <w:tc>
                <w:tcPr>
                  <w:tcW w:w="87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≥99.5%</w:t>
                  </w:r>
                </w:p>
              </w:tc>
              <w:tc>
                <w:tcPr>
                  <w:tcW w:w="63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2L—15L</w:t>
                  </w:r>
                </w:p>
              </w:tc>
              <w:tc>
                <w:tcPr>
                  <w:tcW w:w="71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826" w:type="pct"/>
                  <w:gridSpan w:val="2"/>
                  <w:noWrap/>
                  <w:vAlign w:val="center"/>
                </w:tcPr>
                <w:p>
                  <w:pPr>
                    <w:jc w:val="center"/>
                    <w:rPr>
                      <w:rFonts w:ascii="宋体" w:hAnsi="宋体" w:cs="宋体"/>
                      <w:kern w:val="0"/>
                      <w:sz w:val="19"/>
                      <w:szCs w:val="19"/>
                    </w:rPr>
                  </w:pPr>
                  <w:r>
                    <w:rPr>
                      <w:rFonts w:hint="eastAsia" w:ascii="宋体" w:hAnsi="宋体" w:cs="宋体"/>
                      <w:kern w:val="0"/>
                      <w:sz w:val="19"/>
                      <w:szCs w:val="19"/>
                    </w:rPr>
                    <w:t>4</w:t>
                  </w:r>
                  <w:r>
                    <w:rPr>
                      <w:rFonts w:ascii="宋体" w:hAnsi="宋体" w:cs="宋体"/>
                      <w:kern w:val="0"/>
                      <w:sz w:val="19"/>
                      <w:szCs w:val="19"/>
                    </w:rPr>
                    <w:t>3</w:t>
                  </w:r>
                </w:p>
              </w:tc>
              <w:tc>
                <w:tcPr>
                  <w:tcW w:w="696" w:type="pct"/>
                  <w:gridSpan w:val="2"/>
                  <w:noWrap/>
                  <w:vAlign w:val="center"/>
                </w:tcPr>
                <w:p>
                  <w:pPr>
                    <w:widowControl/>
                    <w:jc w:val="center"/>
                    <w:rPr>
                      <w:rFonts w:ascii="宋体" w:hAnsi="宋体" w:cs="宋体"/>
                      <w:kern w:val="0"/>
                      <w:sz w:val="19"/>
                      <w:szCs w:val="19"/>
                    </w:rPr>
                  </w:pPr>
                  <w:r>
                    <w:rPr>
                      <w:rFonts w:ascii="宋体" w:hAnsi="宋体" w:cs="宋体"/>
                      <w:kern w:val="0"/>
                      <w:sz w:val="19"/>
                      <w:szCs w:val="19"/>
                    </w:rPr>
                    <w:t>26</w:t>
                  </w:r>
                  <w:r>
                    <w:rPr>
                      <w:rFonts w:hint="eastAsia" w:ascii="宋体" w:hAnsi="宋体" w:cs="宋体"/>
                      <w:kern w:val="0"/>
                      <w:sz w:val="19"/>
                      <w:szCs w:val="19"/>
                    </w:rPr>
                    <w:t>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4" w:type="pct"/>
                  <w:noWrap/>
                  <w:vAlign w:val="center"/>
                </w:tcPr>
                <w:p>
                  <w:pPr>
                    <w:widowControl/>
                    <w:jc w:val="center"/>
                    <w:rPr>
                      <w:rFonts w:ascii="宋体" w:hAnsi="宋体" w:cs="宋体"/>
                      <w:kern w:val="0"/>
                      <w:sz w:val="19"/>
                      <w:szCs w:val="19"/>
                    </w:rPr>
                  </w:pPr>
                  <w:r>
                    <w:rPr>
                      <w:rFonts w:ascii="宋体" w:hAnsi="宋体" w:cs="宋体"/>
                      <w:kern w:val="0"/>
                      <w:sz w:val="19"/>
                      <w:szCs w:val="19"/>
                    </w:rPr>
                    <w:t>2</w:t>
                  </w:r>
                </w:p>
              </w:tc>
              <w:tc>
                <w:tcPr>
                  <w:tcW w:w="88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医用氧（气态）</w:t>
                  </w:r>
                </w:p>
              </w:tc>
              <w:tc>
                <w:tcPr>
                  <w:tcW w:w="87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≥99.5%</w:t>
                  </w:r>
                </w:p>
              </w:tc>
              <w:tc>
                <w:tcPr>
                  <w:tcW w:w="63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20L-40L</w:t>
                  </w:r>
                </w:p>
              </w:tc>
              <w:tc>
                <w:tcPr>
                  <w:tcW w:w="71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826" w:type="pct"/>
                  <w:gridSpan w:val="2"/>
                  <w:noWrap/>
                  <w:vAlign w:val="center"/>
                </w:tcPr>
                <w:p>
                  <w:pPr>
                    <w:jc w:val="center"/>
                    <w:rPr>
                      <w:rFonts w:ascii="宋体" w:hAnsi="宋体" w:cs="宋体"/>
                      <w:kern w:val="0"/>
                      <w:sz w:val="19"/>
                      <w:szCs w:val="19"/>
                    </w:rPr>
                  </w:pPr>
                  <w:r>
                    <w:rPr>
                      <w:rFonts w:hint="eastAsia" w:ascii="宋体" w:hAnsi="宋体" w:cs="宋体"/>
                      <w:kern w:val="0"/>
                      <w:sz w:val="19"/>
                      <w:szCs w:val="19"/>
                    </w:rPr>
                    <w:t>2</w:t>
                  </w:r>
                  <w:r>
                    <w:rPr>
                      <w:rFonts w:ascii="宋体" w:hAnsi="宋体" w:cs="宋体"/>
                      <w:kern w:val="0"/>
                      <w:sz w:val="19"/>
                      <w:szCs w:val="19"/>
                    </w:rPr>
                    <w:t>0</w:t>
                  </w:r>
                </w:p>
              </w:tc>
              <w:tc>
                <w:tcPr>
                  <w:tcW w:w="696" w:type="pct"/>
                  <w:gridSpan w:val="2"/>
                  <w:noWrap/>
                  <w:vAlign w:val="center"/>
                </w:tcPr>
                <w:p>
                  <w:pPr>
                    <w:widowControl/>
                    <w:jc w:val="center"/>
                    <w:rPr>
                      <w:rFonts w:ascii="宋体" w:hAnsi="宋体" w:cs="宋体"/>
                      <w:kern w:val="0"/>
                      <w:sz w:val="19"/>
                      <w:szCs w:val="19"/>
                    </w:rPr>
                  </w:pPr>
                  <w:r>
                    <w:rPr>
                      <w:rFonts w:ascii="宋体" w:hAnsi="宋体" w:cs="宋体"/>
                      <w:kern w:val="0"/>
                      <w:sz w:val="19"/>
                      <w:szCs w:val="19"/>
                    </w:rPr>
                    <w:t>30</w:t>
                  </w:r>
                  <w:r>
                    <w:rPr>
                      <w:rFonts w:hint="eastAsia" w:ascii="宋体" w:hAnsi="宋体" w:cs="宋体"/>
                      <w:kern w:val="0"/>
                      <w:sz w:val="19"/>
                      <w:szCs w:val="19"/>
                    </w:rPr>
                    <w:t>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74" w:type="pct"/>
                  <w:noWrap/>
                  <w:vAlign w:val="center"/>
                </w:tcPr>
                <w:p>
                  <w:pPr>
                    <w:widowControl/>
                    <w:jc w:val="center"/>
                    <w:rPr>
                      <w:rFonts w:ascii="宋体" w:hAnsi="宋体" w:cs="宋体"/>
                      <w:kern w:val="0"/>
                      <w:sz w:val="19"/>
                      <w:szCs w:val="19"/>
                    </w:rPr>
                  </w:pPr>
                  <w:r>
                    <w:rPr>
                      <w:rFonts w:ascii="宋体" w:hAnsi="宋体" w:cs="宋体"/>
                      <w:kern w:val="0"/>
                      <w:sz w:val="19"/>
                      <w:szCs w:val="19"/>
                    </w:rPr>
                    <w:t>3</w:t>
                  </w:r>
                </w:p>
              </w:tc>
              <w:tc>
                <w:tcPr>
                  <w:tcW w:w="88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医用氧（液态）</w:t>
                  </w:r>
                </w:p>
              </w:tc>
              <w:tc>
                <w:tcPr>
                  <w:tcW w:w="87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≥99.5%</w:t>
                  </w:r>
                </w:p>
              </w:tc>
              <w:tc>
                <w:tcPr>
                  <w:tcW w:w="63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槽车灌氧</w:t>
                  </w:r>
                </w:p>
              </w:tc>
              <w:tc>
                <w:tcPr>
                  <w:tcW w:w="71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公斤</w:t>
                  </w:r>
                </w:p>
              </w:tc>
              <w:tc>
                <w:tcPr>
                  <w:tcW w:w="826" w:type="pct"/>
                  <w:gridSpan w:val="2"/>
                  <w:noWrap/>
                  <w:vAlign w:val="center"/>
                </w:tcPr>
                <w:p>
                  <w:pPr>
                    <w:jc w:val="center"/>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35000</w:t>
                  </w:r>
                </w:p>
              </w:tc>
              <w:tc>
                <w:tcPr>
                  <w:tcW w:w="696" w:type="pct"/>
                  <w:gridSpan w:val="2"/>
                  <w:noWrap/>
                  <w:vAlign w:val="center"/>
                </w:tcPr>
                <w:p>
                  <w:pPr>
                    <w:widowControl/>
                    <w:jc w:val="center"/>
                    <w:rPr>
                      <w:rFonts w:ascii="宋体" w:hAnsi="宋体" w:cs="宋体"/>
                      <w:kern w:val="0"/>
                      <w:sz w:val="19"/>
                      <w:szCs w:val="19"/>
                    </w:rPr>
                  </w:pPr>
                  <w:r>
                    <w:rPr>
                      <w:rFonts w:ascii="宋体" w:hAnsi="宋体" w:cs="宋体"/>
                      <w:kern w:val="0"/>
                      <w:sz w:val="19"/>
                      <w:szCs w:val="19"/>
                    </w:rPr>
                    <w:t>1.16</w:t>
                  </w:r>
                  <w:r>
                    <w:rPr>
                      <w:rFonts w:hint="eastAsia" w:ascii="宋体" w:hAnsi="宋体" w:cs="宋体"/>
                      <w:kern w:val="0"/>
                      <w:sz w:val="19"/>
                      <w:szCs w:val="19"/>
                    </w:rPr>
                    <w:t>元/公斤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74"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4</w:t>
                  </w:r>
                </w:p>
              </w:tc>
              <w:tc>
                <w:tcPr>
                  <w:tcW w:w="88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食品级二氧化碳</w:t>
                  </w:r>
                </w:p>
              </w:tc>
              <w:tc>
                <w:tcPr>
                  <w:tcW w:w="87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≥99.9%</w:t>
                  </w:r>
                </w:p>
              </w:tc>
              <w:tc>
                <w:tcPr>
                  <w:tcW w:w="636" w:type="pct"/>
                  <w:noWrap/>
                </w:tcPr>
                <w:p>
                  <w:pPr>
                    <w:widowControl/>
                    <w:jc w:val="center"/>
                    <w:rPr>
                      <w:rFonts w:ascii="宋体" w:hAnsi="宋体" w:cs="宋体"/>
                      <w:kern w:val="0"/>
                      <w:sz w:val="19"/>
                      <w:szCs w:val="19"/>
                    </w:rPr>
                  </w:pPr>
                  <w:r>
                    <w:rPr>
                      <w:rFonts w:hint="eastAsia" w:ascii="宋体" w:hAnsi="宋体" w:cs="宋体"/>
                      <w:kern w:val="0"/>
                      <w:sz w:val="19"/>
                      <w:szCs w:val="19"/>
                    </w:rPr>
                    <w:t>4</w:t>
                  </w:r>
                  <w:r>
                    <w:rPr>
                      <w:rFonts w:ascii="宋体" w:hAnsi="宋体" w:cs="宋体"/>
                      <w:kern w:val="0"/>
                      <w:sz w:val="19"/>
                      <w:szCs w:val="19"/>
                    </w:rPr>
                    <w:t>0L</w:t>
                  </w:r>
                </w:p>
              </w:tc>
              <w:tc>
                <w:tcPr>
                  <w:tcW w:w="71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826" w:type="pct"/>
                  <w:gridSpan w:val="2"/>
                  <w:noWrap/>
                  <w:vAlign w:val="center"/>
                </w:tcPr>
                <w:p>
                  <w:pPr>
                    <w:jc w:val="center"/>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4</w:t>
                  </w:r>
                </w:p>
              </w:tc>
              <w:tc>
                <w:tcPr>
                  <w:tcW w:w="696" w:type="pct"/>
                  <w:gridSpan w:val="2"/>
                  <w:noWrap/>
                  <w:vAlign w:val="center"/>
                </w:tcPr>
                <w:p>
                  <w:pPr>
                    <w:widowControl/>
                    <w:jc w:val="center"/>
                    <w:rPr>
                      <w:rFonts w:ascii="宋体" w:hAnsi="宋体" w:cs="宋体"/>
                      <w:kern w:val="0"/>
                      <w:sz w:val="19"/>
                      <w:szCs w:val="19"/>
                    </w:rPr>
                  </w:pPr>
                  <w:r>
                    <w:rPr>
                      <w:rFonts w:hint="eastAsia" w:ascii="宋体" w:hAnsi="宋体" w:cs="宋体"/>
                      <w:kern w:val="0"/>
                      <w:sz w:val="19"/>
                      <w:szCs w:val="19"/>
                    </w:rPr>
                    <w:t>180元/瓶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374"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5</w:t>
                  </w:r>
                </w:p>
              </w:tc>
              <w:tc>
                <w:tcPr>
                  <w:tcW w:w="88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混合气</w:t>
                  </w:r>
                </w:p>
              </w:tc>
              <w:tc>
                <w:tcPr>
                  <w:tcW w:w="87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0.3%CO+0.3%CH+21%O2+氮气N2平衡</w:t>
                  </w:r>
                </w:p>
              </w:tc>
              <w:tc>
                <w:tcPr>
                  <w:tcW w:w="63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10L</w:t>
                  </w:r>
                </w:p>
              </w:tc>
              <w:tc>
                <w:tcPr>
                  <w:tcW w:w="71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瓶</w:t>
                  </w:r>
                </w:p>
              </w:tc>
              <w:tc>
                <w:tcPr>
                  <w:tcW w:w="826" w:type="pct"/>
                  <w:gridSpan w:val="2"/>
                  <w:noWrap/>
                  <w:vAlign w:val="center"/>
                </w:tcPr>
                <w:p>
                  <w:pPr>
                    <w:jc w:val="center"/>
                    <w:rPr>
                      <w:rFonts w:ascii="宋体" w:hAnsi="宋体" w:cs="宋体"/>
                      <w:kern w:val="0"/>
                      <w:sz w:val="19"/>
                      <w:szCs w:val="19"/>
                    </w:rPr>
                  </w:pPr>
                  <w:r>
                    <w:rPr>
                      <w:rFonts w:hint="eastAsia" w:ascii="宋体" w:hAnsi="宋体" w:cs="宋体"/>
                      <w:kern w:val="0"/>
                      <w:sz w:val="19"/>
                      <w:szCs w:val="19"/>
                    </w:rPr>
                    <w:t>3</w:t>
                  </w:r>
                </w:p>
              </w:tc>
              <w:tc>
                <w:tcPr>
                  <w:tcW w:w="696" w:type="pct"/>
                  <w:gridSpan w:val="2"/>
                  <w:noWrap/>
                  <w:vAlign w:val="center"/>
                </w:tcPr>
                <w:p>
                  <w:pPr>
                    <w:widowControl/>
                    <w:jc w:val="center"/>
                    <w:rPr>
                      <w:rFonts w:ascii="宋体" w:hAnsi="宋体" w:cs="宋体"/>
                      <w:kern w:val="0"/>
                      <w:sz w:val="19"/>
                      <w:szCs w:val="19"/>
                    </w:rPr>
                  </w:pPr>
                  <w:r>
                    <w:rPr>
                      <w:rFonts w:ascii="宋体" w:hAnsi="宋体" w:cs="宋体"/>
                      <w:kern w:val="0"/>
                      <w:sz w:val="19"/>
                      <w:szCs w:val="19"/>
                    </w:rPr>
                    <w:t>1080</w:t>
                  </w:r>
                  <w:r>
                    <w:rPr>
                      <w:rFonts w:hint="eastAsia" w:ascii="宋体" w:hAnsi="宋体" w:cs="宋体"/>
                      <w:kern w:val="0"/>
                      <w:sz w:val="19"/>
                      <w:szCs w:val="19"/>
                    </w:rPr>
                    <w:t>元/瓶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74"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6</w:t>
                  </w:r>
                </w:p>
              </w:tc>
              <w:tc>
                <w:tcPr>
                  <w:tcW w:w="880"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液氮</w:t>
                  </w:r>
                </w:p>
              </w:tc>
              <w:tc>
                <w:tcPr>
                  <w:tcW w:w="877"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≥99.99%</w:t>
                  </w:r>
                </w:p>
              </w:tc>
              <w:tc>
                <w:tcPr>
                  <w:tcW w:w="636" w:type="pct"/>
                  <w:noWrap/>
                  <w:vAlign w:val="center"/>
                </w:tcPr>
                <w:p>
                  <w:pPr>
                    <w:widowControl/>
                    <w:jc w:val="center"/>
                    <w:rPr>
                      <w:rFonts w:ascii="宋体" w:hAnsi="宋体" w:cs="宋体"/>
                      <w:kern w:val="0"/>
                      <w:sz w:val="19"/>
                      <w:szCs w:val="19"/>
                    </w:rPr>
                  </w:pPr>
                  <w:r>
                    <w:rPr>
                      <w:rFonts w:hint="eastAsia" w:ascii="宋体" w:hAnsi="宋体" w:cs="宋体"/>
                      <w:kern w:val="0"/>
                      <w:sz w:val="19"/>
                      <w:szCs w:val="19"/>
                    </w:rPr>
                    <w:t>/</w:t>
                  </w:r>
                </w:p>
              </w:tc>
              <w:tc>
                <w:tcPr>
                  <w:tcW w:w="710" w:type="pct"/>
                  <w:noWrap/>
                  <w:vAlign w:val="center"/>
                </w:tcPr>
                <w:p>
                  <w:pPr>
                    <w:widowControl/>
                    <w:jc w:val="center"/>
                    <w:rPr>
                      <w:rFonts w:ascii="宋体" w:hAnsi="宋体" w:cs="宋体"/>
                      <w:kern w:val="0"/>
                      <w:sz w:val="19"/>
                      <w:szCs w:val="19"/>
                    </w:rPr>
                  </w:pPr>
                  <w:r>
                    <w:rPr>
                      <w:rFonts w:hint="eastAsia" w:ascii="仿宋" w:hAnsi="仿宋" w:eastAsia="仿宋" w:cs="仿宋"/>
                      <w:sz w:val="24"/>
                    </w:rPr>
                    <w:t>公斤</w:t>
                  </w:r>
                </w:p>
              </w:tc>
              <w:tc>
                <w:tcPr>
                  <w:tcW w:w="826" w:type="pct"/>
                  <w:gridSpan w:val="2"/>
                  <w:noWrap/>
                  <w:vAlign w:val="center"/>
                </w:tcPr>
                <w:p>
                  <w:pPr>
                    <w:jc w:val="center"/>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20</w:t>
                  </w:r>
                </w:p>
              </w:tc>
              <w:tc>
                <w:tcPr>
                  <w:tcW w:w="696" w:type="pct"/>
                  <w:gridSpan w:val="2"/>
                  <w:noWrap/>
                  <w:vAlign w:val="center"/>
                </w:tcPr>
                <w:p>
                  <w:pPr>
                    <w:widowControl/>
                    <w:jc w:val="center"/>
                    <w:rPr>
                      <w:rFonts w:ascii="宋体" w:hAnsi="宋体" w:cs="宋体"/>
                      <w:kern w:val="0"/>
                      <w:sz w:val="19"/>
                      <w:szCs w:val="19"/>
                    </w:rPr>
                  </w:pPr>
                  <w:r>
                    <w:rPr>
                      <w:rFonts w:hint="eastAsia" w:ascii="宋体" w:hAnsi="宋体" w:cs="宋体"/>
                      <w:kern w:val="0"/>
                      <w:sz w:val="19"/>
                      <w:szCs w:val="19"/>
                    </w:rPr>
                    <w:t>8</w:t>
                  </w:r>
                  <w:r>
                    <w:rPr>
                      <w:rFonts w:hint="eastAsia" w:ascii="宋体" w:hAnsi="宋体" w:cs="宋体"/>
                      <w:kern w:val="0"/>
                      <w:sz w:val="19"/>
                      <w:szCs w:val="19"/>
                      <w:lang w:val="en-US" w:eastAsia="zh-CN"/>
                    </w:rPr>
                    <w:t>元</w:t>
                  </w:r>
                  <w:r>
                    <w:rPr>
                      <w:rFonts w:hint="eastAsia" w:ascii="宋体" w:hAnsi="宋体" w:cs="宋体"/>
                      <w:kern w:val="0"/>
                      <w:sz w:val="19"/>
                      <w:szCs w:val="19"/>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74" w:type="pct"/>
                  <w:noWrap/>
                  <w:vAlign w:val="center"/>
                </w:tcPr>
                <w:p>
                  <w:pPr>
                    <w:widowControl/>
                    <w:jc w:val="center"/>
                    <w:rPr>
                      <w:rFonts w:ascii="宋体" w:hAnsi="宋体" w:cs="宋体"/>
                      <w:kern w:val="0"/>
                      <w:sz w:val="19"/>
                      <w:szCs w:val="19"/>
                    </w:rPr>
                  </w:pPr>
                </w:p>
              </w:tc>
              <w:tc>
                <w:tcPr>
                  <w:tcW w:w="880" w:type="pct"/>
                  <w:noWrap/>
                  <w:vAlign w:val="center"/>
                </w:tcPr>
                <w:p>
                  <w:pPr>
                    <w:widowControl/>
                    <w:jc w:val="center"/>
                    <w:rPr>
                      <w:rFonts w:ascii="宋体" w:hAnsi="宋体" w:cs="宋体"/>
                      <w:kern w:val="0"/>
                      <w:sz w:val="19"/>
                      <w:szCs w:val="19"/>
                    </w:rPr>
                  </w:pPr>
                </w:p>
              </w:tc>
              <w:tc>
                <w:tcPr>
                  <w:tcW w:w="877" w:type="pct"/>
                  <w:noWrap/>
                  <w:vAlign w:val="center"/>
                </w:tcPr>
                <w:p>
                  <w:pPr>
                    <w:widowControl/>
                    <w:jc w:val="center"/>
                    <w:rPr>
                      <w:rFonts w:ascii="宋体" w:hAnsi="宋体" w:cs="宋体"/>
                      <w:kern w:val="0"/>
                      <w:sz w:val="19"/>
                      <w:szCs w:val="19"/>
                    </w:rPr>
                  </w:pPr>
                </w:p>
              </w:tc>
              <w:tc>
                <w:tcPr>
                  <w:tcW w:w="636" w:type="pct"/>
                  <w:noWrap/>
                  <w:vAlign w:val="center"/>
                </w:tcPr>
                <w:p>
                  <w:pPr>
                    <w:widowControl/>
                    <w:jc w:val="center"/>
                    <w:rPr>
                      <w:rFonts w:ascii="宋体" w:hAnsi="宋体" w:cs="宋体"/>
                      <w:kern w:val="0"/>
                      <w:sz w:val="19"/>
                      <w:szCs w:val="19"/>
                    </w:rPr>
                  </w:pPr>
                </w:p>
              </w:tc>
              <w:tc>
                <w:tcPr>
                  <w:tcW w:w="710" w:type="pct"/>
                  <w:noWrap/>
                  <w:vAlign w:val="center"/>
                </w:tcPr>
                <w:p>
                  <w:pPr>
                    <w:widowControl/>
                    <w:jc w:val="center"/>
                    <w:rPr>
                      <w:rFonts w:ascii="宋体" w:hAnsi="宋体" w:cs="宋体"/>
                      <w:kern w:val="0"/>
                      <w:sz w:val="19"/>
                      <w:szCs w:val="19"/>
                    </w:rPr>
                  </w:pPr>
                </w:p>
              </w:tc>
              <w:tc>
                <w:tcPr>
                  <w:tcW w:w="826" w:type="pct"/>
                  <w:gridSpan w:val="2"/>
                  <w:noWrap/>
                  <w:vAlign w:val="center"/>
                </w:tcPr>
                <w:p>
                  <w:pPr>
                    <w:jc w:val="center"/>
                    <w:rPr>
                      <w:rFonts w:ascii="宋体" w:hAnsi="宋体" w:cs="宋体"/>
                      <w:sz w:val="19"/>
                      <w:szCs w:val="19"/>
                    </w:rPr>
                  </w:pPr>
                </w:p>
              </w:tc>
              <w:tc>
                <w:tcPr>
                  <w:tcW w:w="696" w:type="pct"/>
                  <w:gridSpan w:val="2"/>
                  <w:noWrap/>
                  <w:vAlign w:val="center"/>
                </w:tcPr>
                <w:p>
                  <w:pPr>
                    <w:widowControl/>
                    <w:jc w:val="center"/>
                    <w:rPr>
                      <w:rFonts w:ascii="宋体" w:hAnsi="宋体" w:cs="宋体"/>
                      <w:kern w:val="0"/>
                      <w:sz w:val="19"/>
                      <w:szCs w:val="19"/>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pct"/>
                <w:trHeight w:val="324" w:hRule="atLeast"/>
                <w:jc w:val="center"/>
              </w:trPr>
              <w:tc>
                <w:tcPr>
                  <w:tcW w:w="3495" w:type="pct"/>
                  <w:gridSpan w:val="6"/>
                  <w:vAlign w:val="center"/>
                </w:tcPr>
                <w:p>
                  <w:pPr>
                    <w:widowControl/>
                    <w:rPr>
                      <w:rFonts w:ascii="宋体" w:hAnsi="宋体" w:cs="宋体"/>
                      <w:kern w:val="0"/>
                      <w:sz w:val="19"/>
                      <w:szCs w:val="19"/>
                    </w:rPr>
                  </w:pPr>
                  <w:r>
                    <w:rPr>
                      <w:rFonts w:hint="eastAsia" w:ascii="宋体" w:hAnsi="宋体" w:cs="宋体"/>
                      <w:kern w:val="0"/>
                      <w:sz w:val="19"/>
                      <w:szCs w:val="19"/>
                    </w:rPr>
                    <w:t>★最高限价=以上所有货物×2个月</w:t>
                  </w:r>
                </w:p>
              </w:tc>
              <w:tc>
                <w:tcPr>
                  <w:tcW w:w="1496" w:type="pct"/>
                  <w:gridSpan w:val="2"/>
                  <w:noWrap/>
                  <w:vAlign w:val="center"/>
                </w:tcPr>
                <w:p>
                  <w:pPr>
                    <w:widowControl/>
                    <w:ind w:firstLine="380" w:firstLineChars="200"/>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6.5038</w:t>
                  </w:r>
                  <w:r>
                    <w:rPr>
                      <w:rFonts w:hint="eastAsia" w:ascii="宋体" w:hAnsi="宋体" w:cs="宋体"/>
                      <w:kern w:val="0"/>
                      <w:sz w:val="19"/>
                      <w:szCs w:val="19"/>
                    </w:rPr>
                    <w:t>万元</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pStyle w:val="24"/>
              <w:numPr>
                <w:ilvl w:val="0"/>
                <w:numId w:val="0"/>
              </w:numPr>
              <w:ind w:leftChars="0"/>
            </w:pPr>
          </w:p>
        </w:tc>
        <w:tc>
          <w:tcPr>
            <w:tcW w:w="8498" w:type="dxa"/>
          </w:tcPr>
          <w:p>
            <w:r>
              <w:rPr>
                <w:rFonts w:hint="eastAsia" w:ascii="宋体" w:hAnsi="宋体" w:cs="宋体"/>
                <w:b/>
                <w:bCs/>
                <w:sz w:val="19"/>
                <w:szCs w:val="19"/>
              </w:rPr>
              <w:t>(二)、质量要求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ascii="宋体" w:hAnsi="宋体" w:cs="宋体"/>
                <w:kern w:val="0"/>
                <w:sz w:val="19"/>
                <w:szCs w:val="19"/>
              </w:rPr>
              <w:t>1.</w:t>
            </w:r>
            <w:r>
              <w:rPr>
                <w:rFonts w:hint="eastAsia" w:ascii="宋体" w:hAnsi="宋体" w:cs="宋体"/>
                <w:kern w:val="0"/>
                <w:sz w:val="19"/>
                <w:szCs w:val="19"/>
                <w:lang w:val="en-US" w:eastAsia="zh-CN"/>
              </w:rPr>
              <w:t>响应</w:t>
            </w:r>
            <w:r>
              <w:rPr>
                <w:rFonts w:ascii="宋体" w:hAnsi="宋体" w:cs="宋体"/>
                <w:kern w:val="0"/>
                <w:sz w:val="19"/>
                <w:szCs w:val="19"/>
              </w:rPr>
              <w:t>人所提供的货物必须符合中华人民共和国国家安全环保标准、国家有关产品质量认证标准：符合《中华人民共和国药典》2020版要求，医用氧纯度≥99.5%以及其他相关的技术标准。严禁提供假冒伪劣物资，严禁用工业氧气冒充医用氧气，其它气体应符合国家最新质量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ascii="宋体" w:hAnsi="宋体" w:cs="宋体"/>
                <w:kern w:val="0"/>
                <w:sz w:val="19"/>
                <w:szCs w:val="19"/>
              </w:rPr>
              <w:t>2.★</w:t>
            </w:r>
            <w:r>
              <w:rPr>
                <w:rFonts w:hint="eastAsia" w:ascii="宋体" w:hAnsi="宋体" w:cs="宋体"/>
                <w:kern w:val="0"/>
                <w:sz w:val="19"/>
                <w:szCs w:val="19"/>
                <w:lang w:val="en-US" w:eastAsia="zh-CN"/>
              </w:rPr>
              <w:t>响应</w:t>
            </w:r>
            <w:r>
              <w:rPr>
                <w:rFonts w:ascii="宋体" w:hAnsi="宋体" w:cs="宋体"/>
                <w:kern w:val="0"/>
                <w:sz w:val="19"/>
                <w:szCs w:val="19"/>
              </w:rPr>
              <w:t>人所供货物送达时须提供本批次的货物检验报告，如产品不达标，采购人有权拒收货物并要求</w:t>
            </w:r>
            <w:r>
              <w:rPr>
                <w:rFonts w:hint="eastAsia" w:ascii="宋体" w:hAnsi="宋体" w:cs="宋体"/>
                <w:kern w:val="0"/>
                <w:sz w:val="19"/>
                <w:szCs w:val="19"/>
                <w:lang w:val="en-US" w:eastAsia="zh-CN"/>
              </w:rPr>
              <w:t>响应</w:t>
            </w:r>
            <w:r>
              <w:rPr>
                <w:rFonts w:ascii="宋体" w:hAnsi="宋体" w:cs="宋体"/>
                <w:kern w:val="0"/>
                <w:sz w:val="19"/>
                <w:szCs w:val="19"/>
              </w:rPr>
              <w:t>人及时给予更换，由此产生的费用由</w:t>
            </w:r>
            <w:r>
              <w:rPr>
                <w:rFonts w:hint="eastAsia" w:ascii="宋体" w:hAnsi="宋体" w:cs="宋体"/>
                <w:kern w:val="0"/>
                <w:sz w:val="19"/>
                <w:szCs w:val="19"/>
                <w:lang w:val="en-US" w:eastAsia="zh-CN"/>
              </w:rPr>
              <w:t>响应</w:t>
            </w:r>
            <w:r>
              <w:rPr>
                <w:rFonts w:ascii="宋体" w:hAnsi="宋体" w:cs="宋体"/>
                <w:kern w:val="0"/>
                <w:sz w:val="19"/>
                <w:szCs w:val="19"/>
              </w:rPr>
              <w:t>人自行承担。采购人不定期对</w:t>
            </w:r>
            <w:r>
              <w:rPr>
                <w:rFonts w:hint="eastAsia" w:ascii="宋体" w:hAnsi="宋体" w:cs="宋体"/>
                <w:kern w:val="0"/>
                <w:sz w:val="19"/>
                <w:szCs w:val="19"/>
                <w:lang w:val="en-US" w:eastAsia="zh-CN"/>
              </w:rPr>
              <w:t>响应</w:t>
            </w:r>
            <w:r>
              <w:rPr>
                <w:rFonts w:ascii="宋体" w:hAnsi="宋体" w:cs="宋体"/>
                <w:kern w:val="0"/>
                <w:sz w:val="19"/>
                <w:szCs w:val="19"/>
              </w:rPr>
              <w:t>人所供医用气体进行抽检，如不符合质量标准，采购人有权要求</w:t>
            </w:r>
            <w:r>
              <w:rPr>
                <w:rFonts w:hint="eastAsia" w:ascii="宋体" w:hAnsi="宋体" w:cs="宋体"/>
                <w:kern w:val="0"/>
                <w:sz w:val="19"/>
                <w:szCs w:val="19"/>
                <w:lang w:val="en-US" w:eastAsia="zh-CN"/>
              </w:rPr>
              <w:t>响应</w:t>
            </w:r>
            <w:r>
              <w:rPr>
                <w:rFonts w:ascii="宋体" w:hAnsi="宋体" w:cs="宋体"/>
                <w:kern w:val="0"/>
                <w:sz w:val="19"/>
                <w:szCs w:val="19"/>
              </w:rPr>
              <w:t>人批量更换医用气体，并且采购人保留终止协议的权利，由此产生的费用由</w:t>
            </w:r>
            <w:r>
              <w:rPr>
                <w:rFonts w:hint="eastAsia" w:ascii="宋体" w:hAnsi="宋体" w:cs="宋体"/>
                <w:kern w:val="0"/>
                <w:sz w:val="19"/>
                <w:szCs w:val="19"/>
                <w:lang w:val="en-US" w:eastAsia="zh-CN"/>
              </w:rPr>
              <w:t>响应</w:t>
            </w:r>
            <w:r>
              <w:rPr>
                <w:rFonts w:ascii="宋体" w:hAnsi="宋体" w:cs="宋体"/>
                <w:kern w:val="0"/>
                <w:sz w:val="19"/>
                <w:szCs w:val="19"/>
              </w:rPr>
              <w:t>人自行承担。如有质量问题或与采购需求不符，由</w:t>
            </w:r>
            <w:r>
              <w:rPr>
                <w:rFonts w:hint="eastAsia" w:ascii="宋体" w:hAnsi="宋体" w:cs="宋体"/>
                <w:kern w:val="0"/>
                <w:sz w:val="19"/>
                <w:szCs w:val="19"/>
                <w:lang w:val="en-US" w:eastAsia="zh-CN"/>
              </w:rPr>
              <w:t>响应</w:t>
            </w:r>
            <w:r>
              <w:rPr>
                <w:rFonts w:ascii="宋体" w:hAnsi="宋体" w:cs="宋体"/>
                <w:kern w:val="0"/>
                <w:sz w:val="19"/>
                <w:szCs w:val="19"/>
              </w:rPr>
              <w:t>人承担全部责任，采购人保留追究相关损失的权利。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（1）</w:t>
            </w:r>
            <w:r>
              <w:rPr>
                <w:rFonts w:hint="eastAsia" w:ascii="宋体" w:hAnsi="宋体" w:cs="宋体"/>
                <w:kern w:val="0"/>
                <w:sz w:val="19"/>
                <w:szCs w:val="19"/>
                <w:lang w:val="en-US" w:eastAsia="zh-CN"/>
              </w:rPr>
              <w:t>响应</w:t>
            </w:r>
            <w:r>
              <w:rPr>
                <w:rFonts w:hint="eastAsia" w:ascii="宋体" w:hAnsi="宋体" w:cs="宋体"/>
                <w:kern w:val="0"/>
                <w:sz w:val="19"/>
                <w:szCs w:val="19"/>
              </w:rPr>
              <w:t>人有良好的、可靠的后续技术支持，具有服务机构（提供工商注册证明文件或租赁合同或产权证明）。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（2）每次供应时应提供供应产品的检验合格证书。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（3）所供应的货物应为原生产厂家的全新产品，所供的医用液态氧气应从合格的生产企业处购买或自行生产，严禁提供假冒伪劣物资，严禁用工业氧气冒充医用氧气。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（4）医用氧出厂前，应按国家药品质量标准进行全检。每个容器都应帖有合格证，合格证上应注明：品名、企业名称、生产批号、生产日期、有效期、压力、纯度执行标准。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3、质量标识：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质量标识：产品规格及验收应按分装瓶随瓶附有产品检验合格证，必须按国家药品质量标准进行全检。每个容器都应贴有合格证；按分装瓶标明产品名称，生产日期、生产批号、气体的容量(L)：压力(Mpa)、质量（kg)和纯度(%)（如有涉及表格内纯度要求的）、执行标准、生产企业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（2）</w:t>
            </w:r>
            <w:r>
              <w:rPr>
                <w:rFonts w:ascii="宋体" w:hAnsi="宋体" w:cs="宋体"/>
                <w:kern w:val="0"/>
                <w:sz w:val="19"/>
                <w:szCs w:val="19"/>
              </w:rPr>
              <w:t>分类标识：对不同种类医用气体的气瓶及合格证，按国标以不同颜色区分，并按国标设置危险货物包装标志。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（3）</w:t>
            </w:r>
            <w:r>
              <w:rPr>
                <w:rFonts w:ascii="宋体" w:hAnsi="宋体" w:cs="宋体"/>
                <w:kern w:val="0"/>
                <w:sz w:val="19"/>
                <w:szCs w:val="19"/>
              </w:rPr>
              <w:t>对不符合质量要求和标识要求的货品，采购人有权拒收，</w:t>
            </w:r>
            <w:r>
              <w:rPr>
                <w:rFonts w:hint="eastAsia" w:ascii="宋体" w:hAnsi="宋体" w:cs="宋体"/>
                <w:kern w:val="0"/>
                <w:sz w:val="19"/>
                <w:szCs w:val="19"/>
                <w:lang w:val="en-US" w:eastAsia="zh-CN"/>
              </w:rPr>
              <w:t>响应</w:t>
            </w:r>
            <w:r>
              <w:rPr>
                <w:rFonts w:ascii="宋体" w:hAnsi="宋体" w:cs="宋体"/>
                <w:kern w:val="0"/>
                <w:sz w:val="19"/>
                <w:szCs w:val="19"/>
              </w:rPr>
              <w:t>人应及时给予退换。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4、</w:t>
            </w:r>
            <w:r>
              <w:rPr>
                <w:rFonts w:ascii="宋体" w:hAnsi="宋体" w:cs="宋体"/>
                <w:kern w:val="0"/>
                <w:sz w:val="19"/>
                <w:szCs w:val="19"/>
              </w:rPr>
              <w:t>气瓶维护保养和检测：</w:t>
            </w:r>
            <w:r>
              <w:rPr>
                <w:rFonts w:hint="eastAsia" w:ascii="宋体" w:hAnsi="宋体" w:cs="宋体"/>
                <w:kern w:val="0"/>
                <w:sz w:val="19"/>
                <w:szCs w:val="19"/>
                <w:lang w:val="en-US" w:eastAsia="zh-CN"/>
              </w:rPr>
              <w:t>响应</w:t>
            </w:r>
            <w:r>
              <w:rPr>
                <w:rFonts w:ascii="宋体" w:hAnsi="宋体" w:cs="宋体"/>
                <w:kern w:val="0"/>
                <w:sz w:val="19"/>
                <w:szCs w:val="19"/>
              </w:rPr>
              <w:t>人负责对采购人提供的气瓶进行后续的维护保养、定期检验，并由具备检验资质的公司出具检测合格证明；如采购人因气瓶年检或维修，</w:t>
            </w:r>
            <w:r>
              <w:rPr>
                <w:rFonts w:hint="eastAsia" w:ascii="宋体" w:hAnsi="宋体" w:cs="宋体"/>
                <w:kern w:val="0"/>
                <w:sz w:val="19"/>
                <w:szCs w:val="19"/>
                <w:lang w:val="en-US" w:eastAsia="zh-CN"/>
              </w:rPr>
              <w:t>响应</w:t>
            </w:r>
            <w:r>
              <w:rPr>
                <w:rFonts w:ascii="宋体" w:hAnsi="宋体" w:cs="宋体"/>
                <w:kern w:val="0"/>
                <w:sz w:val="19"/>
                <w:szCs w:val="19"/>
              </w:rPr>
              <w:t>人应按采购人需要提供合理数量的气瓶给采购人使用，以满足采购人的要求为准，</w:t>
            </w:r>
            <w:r>
              <w:rPr>
                <w:rFonts w:hint="eastAsia" w:ascii="宋体" w:hAnsi="宋体" w:cs="宋体"/>
                <w:kern w:val="0"/>
                <w:sz w:val="19"/>
                <w:szCs w:val="19"/>
                <w:lang w:val="en-US" w:eastAsia="zh-CN"/>
              </w:rPr>
              <w:t>响应</w:t>
            </w:r>
            <w:r>
              <w:rPr>
                <w:rFonts w:ascii="宋体" w:hAnsi="宋体" w:cs="宋体"/>
                <w:kern w:val="0"/>
                <w:sz w:val="19"/>
                <w:szCs w:val="19"/>
              </w:rPr>
              <w:t>人提供的气瓶应符合国家安全质量要求。以上费用均包含在本项目投标报价中，采购人不再另行支付。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5、</w:t>
            </w:r>
            <w:r>
              <w:rPr>
                <w:rFonts w:ascii="宋体" w:hAnsi="宋体" w:cs="宋体"/>
                <w:kern w:val="0"/>
                <w:sz w:val="19"/>
                <w:szCs w:val="19"/>
              </w:rPr>
              <w:t>因产品的质量问题发生争议，由广东省或广州市质检部门进行质量鉴定。采购人与</w:t>
            </w:r>
            <w:r>
              <w:rPr>
                <w:rFonts w:hint="eastAsia" w:ascii="宋体" w:hAnsi="宋体" w:cs="宋体"/>
                <w:kern w:val="0"/>
                <w:sz w:val="19"/>
                <w:szCs w:val="19"/>
                <w:lang w:val="en-US" w:eastAsia="zh-CN"/>
              </w:rPr>
              <w:t>成交</w:t>
            </w:r>
            <w:r>
              <w:rPr>
                <w:rFonts w:ascii="宋体" w:hAnsi="宋体" w:cs="宋体"/>
                <w:kern w:val="0"/>
                <w:sz w:val="19"/>
                <w:szCs w:val="19"/>
              </w:rPr>
              <w:t>人认为有需要，可以共同提出或分别提出质量鉴定，若广东省质检部门与广州市质检部门的鉴定结论不一致的，以广东省质检部门的鉴定结论为准。产品符合质量标准的，鉴定费由采购人承担；产品不符合质量标准的，鉴定费由</w:t>
            </w:r>
            <w:r>
              <w:rPr>
                <w:rFonts w:hint="eastAsia" w:ascii="宋体" w:hAnsi="宋体" w:cs="宋体"/>
                <w:kern w:val="0"/>
                <w:sz w:val="19"/>
                <w:szCs w:val="19"/>
                <w:lang w:val="en-US" w:eastAsia="zh-CN"/>
              </w:rPr>
              <w:t>成交</w:t>
            </w:r>
            <w:r>
              <w:rPr>
                <w:rFonts w:ascii="宋体" w:hAnsi="宋体" w:cs="宋体"/>
                <w:kern w:val="0"/>
                <w:sz w:val="19"/>
                <w:szCs w:val="19"/>
              </w:rPr>
              <w:t>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6、</w:t>
            </w:r>
            <w:r>
              <w:rPr>
                <w:rFonts w:ascii="宋体" w:hAnsi="宋体" w:cs="宋体"/>
                <w:kern w:val="0"/>
                <w:sz w:val="19"/>
                <w:szCs w:val="19"/>
              </w:rPr>
              <w:t>对于影响配送货物正常工作的必要组成部分，无论在采购需求中指出与否，</w:t>
            </w:r>
            <w:r>
              <w:rPr>
                <w:rFonts w:hint="eastAsia" w:ascii="宋体" w:hAnsi="宋体" w:cs="宋体"/>
                <w:kern w:val="0"/>
                <w:sz w:val="19"/>
                <w:szCs w:val="19"/>
                <w:lang w:val="en-US" w:eastAsia="zh-CN"/>
              </w:rPr>
              <w:t>响应</w:t>
            </w:r>
            <w:r>
              <w:rPr>
                <w:rFonts w:ascii="宋体" w:hAnsi="宋体" w:cs="宋体"/>
                <w:kern w:val="0"/>
                <w:sz w:val="19"/>
                <w:szCs w:val="19"/>
              </w:rPr>
              <w:t>人都应提供并在</w:t>
            </w:r>
            <w:r>
              <w:rPr>
                <w:rFonts w:hint="eastAsia" w:ascii="宋体" w:hAnsi="宋体" w:cs="宋体"/>
                <w:kern w:val="0"/>
                <w:sz w:val="19"/>
                <w:szCs w:val="19"/>
                <w:lang w:val="en-US" w:eastAsia="zh-CN"/>
              </w:rPr>
              <w:t>响应</w:t>
            </w:r>
            <w:r>
              <w:rPr>
                <w:rFonts w:ascii="宋体" w:hAnsi="宋体" w:cs="宋体"/>
                <w:kern w:val="0"/>
                <w:sz w:val="19"/>
                <w:szCs w:val="19"/>
              </w:rPr>
              <w:t>文件中明确列出。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7、</w:t>
            </w:r>
            <w:r>
              <w:rPr>
                <w:rFonts w:ascii="宋体" w:hAnsi="宋体" w:cs="宋体"/>
                <w:kern w:val="0"/>
                <w:sz w:val="19"/>
                <w:szCs w:val="19"/>
              </w:rPr>
              <w:t>为保证配送货物质量，</w:t>
            </w:r>
            <w:r>
              <w:rPr>
                <w:rFonts w:hint="eastAsia" w:ascii="宋体" w:hAnsi="宋体" w:cs="宋体"/>
                <w:kern w:val="0"/>
                <w:sz w:val="19"/>
                <w:szCs w:val="19"/>
                <w:lang w:val="en-US" w:eastAsia="zh-CN"/>
              </w:rPr>
              <w:t>响应</w:t>
            </w:r>
            <w:r>
              <w:rPr>
                <w:rFonts w:ascii="宋体" w:hAnsi="宋体" w:cs="宋体"/>
                <w:kern w:val="0"/>
                <w:sz w:val="19"/>
                <w:szCs w:val="19"/>
              </w:rPr>
              <w:t>人应针对本项目实际情况及质量要求，提供产品质量保证及措施方案。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8、混合气及高纯气体质量要求较为精准，需专瓶专用，</w:t>
            </w:r>
            <w:r>
              <w:rPr>
                <w:rFonts w:hint="eastAsia" w:ascii="宋体" w:hAnsi="宋体" w:cs="宋体"/>
                <w:kern w:val="0"/>
                <w:sz w:val="19"/>
                <w:szCs w:val="19"/>
                <w:lang w:val="en-US" w:eastAsia="zh-CN"/>
              </w:rPr>
              <w:t>成交</w:t>
            </w:r>
            <w:r>
              <w:rPr>
                <w:rFonts w:hint="eastAsia" w:ascii="宋体" w:hAnsi="宋体" w:cs="宋体"/>
                <w:kern w:val="0"/>
                <w:sz w:val="19"/>
                <w:szCs w:val="19"/>
              </w:rPr>
              <w:t>人不得提供周转钢瓶使用。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rPr>
                <w:rFonts w:ascii="宋体" w:hAnsi="宋体" w:cs="宋体"/>
                <w:kern w:val="0"/>
                <w:sz w:val="19"/>
                <w:szCs w:val="19"/>
              </w:rPr>
            </w:pPr>
            <w:r>
              <w:rPr>
                <w:rFonts w:hint="eastAsia" w:ascii="宋体" w:hAnsi="宋体" w:cs="宋体"/>
                <w:b/>
                <w:bCs/>
                <w:sz w:val="19"/>
                <w:szCs w:val="19"/>
              </w:rPr>
              <w:t xml:space="preserve">（三)服务要求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1、</w:t>
            </w:r>
            <w:r>
              <w:rPr>
                <w:rFonts w:ascii="宋体" w:hAnsi="宋体" w:cs="宋体"/>
                <w:kern w:val="0"/>
                <w:sz w:val="19"/>
                <w:szCs w:val="19"/>
              </w:rPr>
              <w:t>交货方式：所有货物需根据采购人的需求分批次配送，具体种类及交货时间由采购人通知</w:t>
            </w:r>
            <w:r>
              <w:rPr>
                <w:rFonts w:hint="eastAsia" w:ascii="宋体" w:hAnsi="宋体" w:cs="宋体"/>
                <w:kern w:val="0"/>
                <w:sz w:val="19"/>
                <w:szCs w:val="19"/>
                <w:lang w:val="en-US" w:eastAsia="zh-CN"/>
              </w:rPr>
              <w:t>响应</w:t>
            </w:r>
            <w:r>
              <w:rPr>
                <w:rFonts w:ascii="宋体" w:hAnsi="宋体" w:cs="宋体"/>
                <w:kern w:val="0"/>
                <w:sz w:val="19"/>
                <w:szCs w:val="19"/>
              </w:rPr>
              <w:t>人。</w:t>
            </w:r>
            <w:r>
              <w:rPr>
                <w:rFonts w:hint="eastAsia" w:ascii="宋体" w:hAnsi="宋体" w:cs="宋体"/>
                <w:kern w:val="0"/>
                <w:sz w:val="19"/>
                <w:szCs w:val="19"/>
                <w:lang w:val="en-US" w:eastAsia="zh-CN"/>
              </w:rPr>
              <w:t>响应</w:t>
            </w:r>
            <w:r>
              <w:rPr>
                <w:rFonts w:hint="eastAsia" w:ascii="宋体" w:hAnsi="宋体" w:cs="宋体"/>
                <w:kern w:val="0"/>
                <w:sz w:val="19"/>
                <w:szCs w:val="19"/>
              </w:rPr>
              <w:t>人提供正式税务发票和盖有公章的送货单、每批次的检验合格证。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ascii="宋体" w:hAnsi="宋体" w:cs="宋体"/>
                <w:kern w:val="0"/>
                <w:sz w:val="19"/>
                <w:szCs w:val="19"/>
              </w:rPr>
              <w:t>2</w:t>
            </w:r>
            <w:r>
              <w:rPr>
                <w:rFonts w:hint="eastAsia" w:ascii="宋体" w:hAnsi="宋体" w:cs="宋体"/>
                <w:kern w:val="0"/>
                <w:sz w:val="19"/>
                <w:szCs w:val="19"/>
              </w:rPr>
              <w:t>、</w:t>
            </w:r>
            <w:r>
              <w:rPr>
                <w:rFonts w:ascii="宋体" w:hAnsi="宋体" w:cs="宋体"/>
                <w:kern w:val="0"/>
                <w:sz w:val="19"/>
                <w:szCs w:val="19"/>
              </w:rPr>
              <w:t>★交货时间：</w:t>
            </w:r>
            <w:r>
              <w:rPr>
                <w:rFonts w:hint="eastAsia" w:ascii="宋体" w:hAnsi="宋体" w:cs="宋体"/>
                <w:kern w:val="0"/>
                <w:sz w:val="19"/>
                <w:szCs w:val="19"/>
                <w:lang w:val="en-US" w:eastAsia="zh-CN"/>
              </w:rPr>
              <w:t>响应</w:t>
            </w:r>
            <w:r>
              <w:rPr>
                <w:rFonts w:ascii="宋体" w:hAnsi="宋体" w:cs="宋体"/>
                <w:kern w:val="0"/>
                <w:sz w:val="19"/>
                <w:szCs w:val="19"/>
              </w:rPr>
              <w:t>人接到采购人订单需求后，24小时内将采购人所需的医用气体送达到指定地点，如遇紧急情况要求3小时内送达。</w:t>
            </w:r>
          </w:p>
          <w:p>
            <w:pPr>
              <w:widowControl/>
              <w:jc w:val="left"/>
              <w:rPr>
                <w:rFonts w:ascii="宋体" w:hAnsi="宋体" w:cs="宋体"/>
                <w:kern w:val="0"/>
                <w:sz w:val="19"/>
                <w:szCs w:val="19"/>
              </w:rPr>
            </w:pPr>
            <w:r>
              <w:rPr>
                <w:rFonts w:hint="eastAsia" w:ascii="宋体" w:hAnsi="宋体" w:cs="宋体"/>
                <w:kern w:val="0"/>
                <w:sz w:val="19"/>
                <w:szCs w:val="19"/>
              </w:rPr>
              <w:t>费用包含在本项目报价内。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3、</w:t>
            </w:r>
            <w:r>
              <w:rPr>
                <w:rFonts w:ascii="宋体" w:hAnsi="宋体" w:cs="宋体"/>
                <w:kern w:val="0"/>
                <w:sz w:val="19"/>
                <w:szCs w:val="19"/>
              </w:rPr>
              <w:t>★为保证本项目安全执行，</w:t>
            </w:r>
            <w:r>
              <w:rPr>
                <w:rFonts w:hint="eastAsia" w:ascii="宋体" w:hAnsi="宋体" w:cs="宋体"/>
                <w:kern w:val="0"/>
                <w:sz w:val="19"/>
                <w:szCs w:val="19"/>
                <w:lang w:val="en-US" w:eastAsia="zh-CN"/>
              </w:rPr>
              <w:t>响应</w:t>
            </w:r>
            <w:r>
              <w:rPr>
                <w:rFonts w:ascii="宋体" w:hAnsi="宋体" w:cs="宋体"/>
                <w:kern w:val="0"/>
                <w:sz w:val="19"/>
                <w:szCs w:val="19"/>
              </w:rPr>
              <w:t>人或委托的运输公司每次送货需配备至少2名配送人员。配送人员中须至少有一人具有道路危险货物运输驾驶员证、至少有一人具有道路危险货物运输押运人员证(同一人可具有多项证书，但配送人员必须为2名或以上的持证人员。提供送货人员的身份证、距本项目</w:t>
            </w:r>
            <w:r>
              <w:rPr>
                <w:rFonts w:hint="eastAsia" w:ascii="宋体" w:hAnsi="宋体" w:cs="宋体"/>
                <w:kern w:val="0"/>
                <w:sz w:val="19"/>
                <w:szCs w:val="19"/>
                <w:lang w:val="en-US" w:eastAsia="zh-CN"/>
              </w:rPr>
              <w:t>响应</w:t>
            </w:r>
            <w:r>
              <w:rPr>
                <w:rFonts w:ascii="宋体" w:hAnsi="宋体" w:cs="宋体"/>
                <w:kern w:val="0"/>
                <w:sz w:val="19"/>
                <w:szCs w:val="19"/>
              </w:rPr>
              <w:t>截止前六个月内任意一个月</w:t>
            </w:r>
            <w:r>
              <w:rPr>
                <w:rFonts w:hint="eastAsia" w:ascii="宋体" w:hAnsi="宋体" w:cs="宋体"/>
                <w:kern w:val="0"/>
                <w:sz w:val="19"/>
                <w:szCs w:val="19"/>
                <w:lang w:val="en-US" w:eastAsia="zh-CN"/>
              </w:rPr>
              <w:t>响应</w:t>
            </w:r>
            <w:r>
              <w:rPr>
                <w:rFonts w:ascii="宋体" w:hAnsi="宋体" w:cs="宋体"/>
                <w:kern w:val="0"/>
                <w:sz w:val="19"/>
                <w:szCs w:val="19"/>
              </w:rPr>
              <w:t>人或委托运输公司为其购买社保证明文件、道路危险货物运输驾驶员证、道路危险货物运输押运人员证)。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4、</w:t>
            </w:r>
            <w:r>
              <w:rPr>
                <w:rFonts w:hint="eastAsia" w:ascii="宋体" w:hAnsi="宋体" w:cs="宋体"/>
                <w:kern w:val="0"/>
                <w:sz w:val="19"/>
                <w:szCs w:val="19"/>
                <w:lang w:val="en-US" w:eastAsia="zh-CN"/>
              </w:rPr>
              <w:t>成交</w:t>
            </w:r>
            <w:r>
              <w:rPr>
                <w:rFonts w:hint="eastAsia" w:ascii="宋体" w:hAnsi="宋体" w:cs="宋体"/>
                <w:kern w:val="0"/>
                <w:sz w:val="19"/>
                <w:szCs w:val="19"/>
              </w:rPr>
              <w:t>人提供的产品如出现质量问题、气瓶漏气等，</w:t>
            </w:r>
            <w:r>
              <w:rPr>
                <w:rFonts w:hint="eastAsia" w:ascii="宋体" w:hAnsi="宋体" w:cs="宋体"/>
                <w:kern w:val="0"/>
                <w:sz w:val="19"/>
                <w:szCs w:val="19"/>
                <w:lang w:val="en-US" w:eastAsia="zh-CN"/>
              </w:rPr>
              <w:t>成交</w:t>
            </w:r>
            <w:r>
              <w:rPr>
                <w:rFonts w:hint="eastAsia" w:ascii="宋体" w:hAnsi="宋体" w:cs="宋体"/>
                <w:kern w:val="0"/>
                <w:sz w:val="19"/>
                <w:szCs w:val="19"/>
              </w:rPr>
              <w:t>人应在收到采购人通知后12小时或以内给予更换，所发生的费用由</w:t>
            </w:r>
            <w:r>
              <w:rPr>
                <w:rFonts w:hint="eastAsia" w:ascii="宋体" w:hAnsi="宋体" w:cs="宋体"/>
                <w:kern w:val="0"/>
                <w:sz w:val="19"/>
                <w:szCs w:val="19"/>
                <w:lang w:val="en-US" w:eastAsia="zh-CN"/>
              </w:rPr>
              <w:t>成交</w:t>
            </w:r>
            <w:r>
              <w:rPr>
                <w:rFonts w:hint="eastAsia" w:ascii="宋体" w:hAnsi="宋体" w:cs="宋体"/>
                <w:kern w:val="0"/>
                <w:sz w:val="19"/>
                <w:szCs w:val="19"/>
              </w:rPr>
              <w:t>人自行承担，否则该批货物不给予支付货款。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5、合同签定后</w:t>
            </w:r>
            <w:r>
              <w:rPr>
                <w:rFonts w:ascii="宋体" w:hAnsi="宋体" w:cs="宋体"/>
                <w:kern w:val="0"/>
                <w:sz w:val="19"/>
                <w:szCs w:val="19"/>
              </w:rPr>
              <w:t>3</w:t>
            </w:r>
            <w:r>
              <w:rPr>
                <w:rFonts w:hint="eastAsia" w:ascii="宋体" w:hAnsi="宋体" w:cs="宋体"/>
                <w:kern w:val="0"/>
                <w:sz w:val="19"/>
                <w:szCs w:val="19"/>
              </w:rPr>
              <w:t>天内，</w:t>
            </w:r>
            <w:r>
              <w:rPr>
                <w:rFonts w:hint="eastAsia" w:ascii="宋体" w:hAnsi="宋体" w:cs="宋体"/>
                <w:kern w:val="0"/>
                <w:sz w:val="19"/>
                <w:szCs w:val="19"/>
                <w:lang w:val="en-US" w:eastAsia="zh-CN"/>
              </w:rPr>
              <w:t>成交</w:t>
            </w:r>
            <w:r>
              <w:rPr>
                <w:rFonts w:hint="eastAsia" w:ascii="宋体" w:hAnsi="宋体" w:cs="宋体"/>
                <w:kern w:val="0"/>
                <w:sz w:val="19"/>
                <w:szCs w:val="19"/>
              </w:rPr>
              <w:t>人应做好供应准备，以便随时按照采购人要求提供供货服务。供货时以书面通知为准，</w:t>
            </w:r>
            <w:r>
              <w:rPr>
                <w:rFonts w:hint="eastAsia" w:ascii="宋体" w:hAnsi="宋体" w:cs="宋体"/>
                <w:kern w:val="0"/>
                <w:sz w:val="19"/>
                <w:szCs w:val="19"/>
                <w:lang w:val="en-US" w:eastAsia="zh-CN"/>
              </w:rPr>
              <w:t>成交</w:t>
            </w:r>
            <w:r>
              <w:rPr>
                <w:rFonts w:hint="eastAsia" w:ascii="宋体" w:hAnsi="宋体" w:cs="宋体"/>
                <w:kern w:val="0"/>
                <w:sz w:val="19"/>
                <w:szCs w:val="19"/>
              </w:rPr>
              <w:t>人在收到书面通知后，用符合国家规定的运输工具（液罐车），按通知中规定的数量、供应地点等要求卸至指定的地点。如遇特殊情况，</w:t>
            </w:r>
            <w:r>
              <w:rPr>
                <w:rFonts w:hint="eastAsia" w:ascii="宋体" w:hAnsi="宋体" w:cs="宋体"/>
                <w:kern w:val="0"/>
                <w:sz w:val="19"/>
                <w:szCs w:val="19"/>
                <w:lang w:val="en-US" w:eastAsia="zh-CN"/>
              </w:rPr>
              <w:t>成交</w:t>
            </w:r>
            <w:r>
              <w:rPr>
                <w:rFonts w:hint="eastAsia" w:ascii="宋体" w:hAnsi="宋体" w:cs="宋体"/>
                <w:kern w:val="0"/>
                <w:sz w:val="19"/>
                <w:szCs w:val="19"/>
              </w:rPr>
              <w:t>人须配合医院紧急用气的需求。供应时将对实际供货情况作记录，并由双方签字确认。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6、面对春节及高考、暴雨天气等异常情况，</w:t>
            </w:r>
            <w:r>
              <w:rPr>
                <w:rFonts w:hint="eastAsia" w:ascii="宋体" w:hAnsi="宋体" w:cs="宋体"/>
                <w:kern w:val="0"/>
                <w:sz w:val="19"/>
                <w:szCs w:val="19"/>
                <w:lang w:val="en-US" w:eastAsia="zh-CN"/>
              </w:rPr>
              <w:t>成交</w:t>
            </w:r>
            <w:r>
              <w:rPr>
                <w:rFonts w:hint="eastAsia" w:ascii="宋体" w:hAnsi="宋体" w:cs="宋体"/>
                <w:kern w:val="0"/>
                <w:sz w:val="19"/>
                <w:szCs w:val="19"/>
              </w:rPr>
              <w:t>人应提前做好氧气供应预案，同时与采购人设备器材科紧密联系，确保医用气体及时供应。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7、</w:t>
            </w:r>
            <w:r>
              <w:rPr>
                <w:rFonts w:hint="eastAsia" w:ascii="宋体" w:hAnsi="宋体" w:cs="宋体"/>
                <w:kern w:val="0"/>
                <w:sz w:val="19"/>
                <w:szCs w:val="19"/>
                <w:lang w:val="en-US" w:eastAsia="zh-CN"/>
              </w:rPr>
              <w:t>成交</w:t>
            </w:r>
            <w:r>
              <w:rPr>
                <w:rFonts w:hint="eastAsia" w:ascii="宋体" w:hAnsi="宋体" w:cs="宋体"/>
                <w:kern w:val="0"/>
                <w:sz w:val="19"/>
                <w:szCs w:val="19"/>
              </w:rPr>
              <w:t>人应制定周密且可行的应急预案，在签订合同前需经设备器材科确认应急预案后，提供采购人设备器材科等存档。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8、供应地点：南方医科大学中西医结合医院。运送采购人指定交收点，不得另外加收运输费用。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9、供应方式：在正常上班工作日内，</w:t>
            </w:r>
            <w:r>
              <w:rPr>
                <w:rFonts w:hint="eastAsia" w:ascii="宋体" w:hAnsi="宋体" w:cs="宋体"/>
                <w:kern w:val="0"/>
                <w:sz w:val="19"/>
                <w:szCs w:val="19"/>
                <w:lang w:val="en-US" w:eastAsia="zh-CN"/>
              </w:rPr>
              <w:t>成交</w:t>
            </w:r>
            <w:r>
              <w:rPr>
                <w:rFonts w:hint="eastAsia" w:ascii="宋体" w:hAnsi="宋体" w:cs="宋体"/>
                <w:kern w:val="0"/>
                <w:sz w:val="19"/>
                <w:szCs w:val="19"/>
              </w:rPr>
              <w:t>人按采购人提供的数量准时将货送达。特殊情况供应时间另行商定。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rPr>
                <w:rFonts w:ascii="宋体" w:hAnsi="宋体" w:cs="宋体"/>
                <w:kern w:val="0"/>
                <w:sz w:val="19"/>
                <w:szCs w:val="19"/>
              </w:rPr>
            </w:pPr>
            <w:r>
              <w:rPr>
                <w:rFonts w:hint="eastAsia" w:ascii="宋体" w:hAnsi="宋体" w:cs="宋体"/>
                <w:b/>
                <w:bCs/>
                <w:sz w:val="19"/>
                <w:szCs w:val="19"/>
              </w:rPr>
              <w:t>(四)、其他要求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1、在规定的质保期内，</w:t>
            </w:r>
            <w:r>
              <w:rPr>
                <w:rFonts w:hint="eastAsia" w:ascii="宋体" w:hAnsi="宋体" w:cs="宋体"/>
                <w:kern w:val="0"/>
                <w:sz w:val="19"/>
                <w:szCs w:val="19"/>
                <w:lang w:val="en-US" w:eastAsia="zh-CN"/>
              </w:rPr>
              <w:t>成交</w:t>
            </w:r>
            <w:r>
              <w:rPr>
                <w:rFonts w:hint="eastAsia" w:ascii="宋体" w:hAnsi="宋体" w:cs="宋体"/>
                <w:kern w:val="0"/>
                <w:sz w:val="19"/>
                <w:szCs w:val="19"/>
              </w:rPr>
              <w:t>人对所供的医用氧气由于制造或材料缺陷而发生的任何损失负责。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2、</w:t>
            </w:r>
            <w:r>
              <w:rPr>
                <w:rFonts w:hint="eastAsia" w:ascii="宋体" w:hAnsi="宋体" w:cs="宋体"/>
                <w:kern w:val="0"/>
                <w:sz w:val="19"/>
                <w:szCs w:val="19"/>
                <w:lang w:val="en-US" w:eastAsia="zh-CN"/>
              </w:rPr>
              <w:t>响应</w:t>
            </w:r>
            <w:r>
              <w:rPr>
                <w:rFonts w:ascii="宋体" w:hAnsi="宋体" w:cs="宋体"/>
                <w:kern w:val="0"/>
                <w:sz w:val="19"/>
                <w:szCs w:val="19"/>
              </w:rPr>
              <w:t>人需保障本项目采购的医用氧产品和其他医用气体有充足的储备，能完全满足且保障采购人的日常采购需要。本项目采购医用液氧较多，要求</w:t>
            </w:r>
            <w:r>
              <w:rPr>
                <w:rFonts w:hint="eastAsia" w:ascii="宋体" w:hAnsi="宋体" w:cs="宋体"/>
                <w:kern w:val="0"/>
                <w:sz w:val="19"/>
                <w:szCs w:val="19"/>
                <w:lang w:val="en-US" w:eastAsia="zh-CN"/>
              </w:rPr>
              <w:t>响应</w:t>
            </w:r>
            <w:r>
              <w:rPr>
                <w:rFonts w:ascii="宋体" w:hAnsi="宋体" w:cs="宋体"/>
                <w:kern w:val="0"/>
                <w:sz w:val="19"/>
                <w:szCs w:val="19"/>
              </w:rPr>
              <w:t>人具备一定的液氧储存能力。</w:t>
            </w:r>
            <w:r>
              <w:rPr>
                <w:rFonts w:hint="eastAsia" w:ascii="宋体" w:hAnsi="宋体" w:cs="宋体"/>
                <w:kern w:val="0"/>
                <w:sz w:val="19"/>
                <w:szCs w:val="19"/>
                <w:lang w:val="en-US" w:eastAsia="zh-CN"/>
              </w:rPr>
              <w:t>响应</w:t>
            </w:r>
            <w:r>
              <w:rPr>
                <w:rFonts w:ascii="宋体" w:hAnsi="宋体" w:cs="宋体"/>
                <w:kern w:val="0"/>
                <w:sz w:val="19"/>
                <w:szCs w:val="19"/>
              </w:rPr>
              <w:t>人需提供液氧储存方案，从储存能力、储存方式、储存计划方面制定详细的实施措施，保障采购人的液氧供应。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3、</w:t>
            </w:r>
            <w:r>
              <w:rPr>
                <w:rFonts w:hint="eastAsia" w:ascii="宋体" w:hAnsi="宋体" w:cs="宋体"/>
                <w:kern w:val="0"/>
                <w:sz w:val="19"/>
                <w:szCs w:val="19"/>
                <w:lang w:val="en-US" w:eastAsia="zh-CN"/>
              </w:rPr>
              <w:t>响应</w:t>
            </w:r>
            <w:r>
              <w:rPr>
                <w:rFonts w:hint="eastAsia" w:ascii="宋体" w:hAnsi="宋体" w:cs="宋体"/>
                <w:kern w:val="0"/>
                <w:sz w:val="19"/>
                <w:szCs w:val="19"/>
              </w:rPr>
              <w:t>文件中以及供应产品时提供下列证明材料：（包含但不限于）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（1）质量档案样本，验收、养护、销售记录样本。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w:t>
            </w:r>
            <w:r>
              <w:rPr>
                <w:rFonts w:ascii="宋体" w:hAnsi="宋体" w:cs="宋体"/>
                <w:kern w:val="0"/>
                <w:sz w:val="19"/>
                <w:szCs w:val="19"/>
              </w:rPr>
              <w:t>2</w:t>
            </w:r>
            <w:r>
              <w:rPr>
                <w:rFonts w:hint="eastAsia" w:ascii="宋体" w:hAnsi="宋体" w:cs="宋体"/>
                <w:kern w:val="0"/>
                <w:sz w:val="19"/>
                <w:szCs w:val="19"/>
              </w:rPr>
              <w:t>）企业负责人和养护保管人员具有培训合格的上岗证。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w:t>
            </w:r>
            <w:r>
              <w:rPr>
                <w:rFonts w:ascii="宋体" w:hAnsi="宋体" w:cs="宋体"/>
                <w:kern w:val="0"/>
                <w:sz w:val="19"/>
                <w:szCs w:val="19"/>
              </w:rPr>
              <w:t>3</w:t>
            </w:r>
            <w:r>
              <w:rPr>
                <w:rFonts w:hint="eastAsia" w:ascii="宋体" w:hAnsi="宋体" w:cs="宋体"/>
                <w:kern w:val="0"/>
                <w:sz w:val="19"/>
                <w:szCs w:val="19"/>
              </w:rPr>
              <w:t>）专用运输车辆的情况。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w:t>
            </w:r>
            <w:r>
              <w:rPr>
                <w:rFonts w:ascii="宋体" w:hAnsi="宋体" w:cs="宋体"/>
                <w:kern w:val="0"/>
                <w:sz w:val="19"/>
                <w:szCs w:val="19"/>
              </w:rPr>
              <w:t>4</w:t>
            </w:r>
            <w:r>
              <w:rPr>
                <w:rFonts w:hint="eastAsia" w:ascii="宋体" w:hAnsi="宋体" w:cs="宋体"/>
                <w:kern w:val="0"/>
                <w:sz w:val="19"/>
                <w:szCs w:val="19"/>
              </w:rPr>
              <w:t>）各项规章制度、生产操作流程及规范。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w:t>
            </w:r>
            <w:r>
              <w:rPr>
                <w:rFonts w:ascii="宋体" w:hAnsi="宋体" w:cs="宋体"/>
                <w:kern w:val="0"/>
                <w:sz w:val="19"/>
                <w:szCs w:val="19"/>
              </w:rPr>
              <w:t>5</w:t>
            </w:r>
            <w:r>
              <w:rPr>
                <w:rFonts w:hint="eastAsia" w:ascii="宋体" w:hAnsi="宋体" w:cs="宋体"/>
                <w:kern w:val="0"/>
                <w:sz w:val="19"/>
                <w:szCs w:val="19"/>
              </w:rPr>
              <w:t>）</w:t>
            </w:r>
            <w:r>
              <w:rPr>
                <w:rFonts w:hint="eastAsia" w:ascii="宋体" w:hAnsi="宋体" w:cs="宋体"/>
                <w:kern w:val="0"/>
                <w:sz w:val="19"/>
                <w:szCs w:val="19"/>
                <w:lang w:val="en-US" w:eastAsia="zh-CN"/>
              </w:rPr>
              <w:t>响应</w:t>
            </w:r>
            <w:r>
              <w:rPr>
                <w:rFonts w:hint="eastAsia" w:ascii="宋体" w:hAnsi="宋体" w:cs="宋体"/>
                <w:kern w:val="0"/>
                <w:sz w:val="19"/>
                <w:szCs w:val="19"/>
              </w:rPr>
              <w:t>人认为有必要增加的材料。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w:t>
            </w:r>
            <w:r>
              <w:rPr>
                <w:rFonts w:ascii="宋体" w:hAnsi="宋体" w:cs="宋体"/>
                <w:kern w:val="0"/>
                <w:sz w:val="19"/>
                <w:szCs w:val="19"/>
              </w:rPr>
              <w:t>4</w:t>
            </w:r>
            <w:r>
              <w:rPr>
                <w:rFonts w:hint="eastAsia" w:ascii="宋体" w:hAnsi="宋体" w:cs="宋体"/>
                <w:kern w:val="0"/>
                <w:sz w:val="19"/>
                <w:szCs w:val="19"/>
              </w:rPr>
              <w:t>、采购人所用的杜瓦瓶由</w:t>
            </w:r>
            <w:r>
              <w:rPr>
                <w:rFonts w:hint="eastAsia" w:ascii="宋体" w:hAnsi="宋体" w:cs="宋体"/>
                <w:kern w:val="0"/>
                <w:sz w:val="19"/>
                <w:szCs w:val="19"/>
                <w:lang w:val="en-US" w:eastAsia="zh-CN"/>
              </w:rPr>
              <w:t>成交</w:t>
            </w:r>
            <w:r>
              <w:rPr>
                <w:rFonts w:hint="eastAsia" w:ascii="宋体" w:hAnsi="宋体" w:cs="宋体"/>
                <w:kern w:val="0"/>
                <w:sz w:val="19"/>
                <w:szCs w:val="19"/>
              </w:rPr>
              <w:t>人费用包含在本次报价中提供，为保证杜瓦瓶在使用、运输中的安全，双方应严格遵守国家杜瓦瓶安全管理的有关规定，按其要求认真执行，避免安全事故的发生。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ascii="宋体" w:hAnsi="宋体" w:cs="宋体"/>
                <w:kern w:val="0"/>
                <w:sz w:val="19"/>
                <w:szCs w:val="19"/>
              </w:rPr>
              <w:t>5</w:t>
            </w:r>
            <w:r>
              <w:rPr>
                <w:rFonts w:hint="eastAsia" w:ascii="宋体" w:hAnsi="宋体" w:cs="宋体"/>
                <w:kern w:val="0"/>
                <w:sz w:val="19"/>
                <w:szCs w:val="19"/>
              </w:rPr>
              <w:t>、当采购人自有医用氧气瓶不够时，</w:t>
            </w:r>
            <w:r>
              <w:rPr>
                <w:rFonts w:hint="eastAsia" w:ascii="宋体" w:hAnsi="宋体" w:cs="宋体"/>
                <w:kern w:val="0"/>
                <w:sz w:val="19"/>
                <w:szCs w:val="19"/>
                <w:lang w:val="en-US" w:eastAsia="zh-CN"/>
              </w:rPr>
              <w:t>成交</w:t>
            </w:r>
            <w:r>
              <w:rPr>
                <w:rFonts w:hint="eastAsia" w:ascii="宋体" w:hAnsi="宋体" w:cs="宋体"/>
                <w:kern w:val="0"/>
                <w:sz w:val="19"/>
                <w:szCs w:val="19"/>
              </w:rPr>
              <w:t>人应费用包含在本次报价中提供钢瓶供采购人使用。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w:t>
            </w:r>
            <w:r>
              <w:rPr>
                <w:rFonts w:ascii="宋体" w:hAnsi="宋体" w:cs="宋体"/>
                <w:kern w:val="0"/>
                <w:sz w:val="19"/>
                <w:szCs w:val="19"/>
              </w:rPr>
              <w:t>6</w:t>
            </w:r>
            <w:r>
              <w:rPr>
                <w:rFonts w:hint="eastAsia" w:ascii="宋体" w:hAnsi="宋体" w:cs="宋体"/>
                <w:kern w:val="0"/>
                <w:sz w:val="19"/>
                <w:szCs w:val="19"/>
              </w:rPr>
              <w:t>、</w:t>
            </w:r>
            <w:r>
              <w:rPr>
                <w:rFonts w:hint="eastAsia" w:ascii="宋体" w:hAnsi="宋体" w:cs="宋体"/>
                <w:kern w:val="0"/>
                <w:sz w:val="19"/>
                <w:szCs w:val="19"/>
                <w:lang w:val="en-US" w:eastAsia="zh-CN"/>
              </w:rPr>
              <w:t>响应</w:t>
            </w:r>
            <w:r>
              <w:rPr>
                <w:rFonts w:hint="eastAsia" w:ascii="宋体" w:hAnsi="宋体" w:cs="宋体"/>
                <w:kern w:val="0"/>
                <w:sz w:val="19"/>
                <w:szCs w:val="19"/>
              </w:rPr>
              <w:t>人是医用气体生产企业或经有效授权的医用气体代销企业（代理商投标应提供有效的授权书或代理证明）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ascii="宋体" w:hAnsi="宋体" w:cs="宋体"/>
                <w:kern w:val="0"/>
                <w:sz w:val="19"/>
                <w:szCs w:val="19"/>
                <w:highlight w:val="none"/>
              </w:rPr>
              <w:t>7</w:t>
            </w:r>
            <w:r>
              <w:rPr>
                <w:rFonts w:hint="eastAsia" w:ascii="宋体" w:hAnsi="宋体" w:cs="宋体"/>
                <w:kern w:val="0"/>
                <w:sz w:val="19"/>
                <w:szCs w:val="19"/>
                <w:highlight w:val="none"/>
              </w:rPr>
              <w:t>、根据广州市公安局关于广州市区货车交通管制措施的通知（穗公（2015）173号）中规定，《广州市危险化学品车辆市区道路运输通行证》需在广州市公安局治安支队按电脑系统审批并登记，并且每2个月为有限期限续证办理。</w:t>
            </w:r>
            <w:r>
              <w:rPr>
                <w:rFonts w:hint="eastAsia" w:ascii="宋体" w:hAnsi="宋体" w:cs="宋体"/>
                <w:kern w:val="0"/>
                <w:sz w:val="19"/>
                <w:szCs w:val="19"/>
                <w:highlight w:val="none"/>
                <w:lang w:val="en-US" w:eastAsia="zh-CN"/>
              </w:rPr>
              <w:t>响应</w:t>
            </w:r>
            <w:r>
              <w:rPr>
                <w:rFonts w:hint="eastAsia" w:ascii="宋体" w:hAnsi="宋体" w:cs="宋体"/>
                <w:kern w:val="0"/>
                <w:sz w:val="19"/>
                <w:szCs w:val="19"/>
                <w:highlight w:val="none"/>
              </w:rPr>
              <w:t>人承诺在签订合</w:t>
            </w:r>
            <w:r>
              <w:rPr>
                <w:rFonts w:hint="eastAsia" w:ascii="宋体" w:hAnsi="宋体" w:cs="宋体"/>
                <w:kern w:val="0"/>
                <w:sz w:val="19"/>
                <w:szCs w:val="19"/>
              </w:rPr>
              <w:t>同之前，应办理或具有《广州市危险化学品车辆市区道路运输通行证》，其有效期覆盖开始履约的时间，便于要求供应时顺利供氧（</w:t>
            </w:r>
            <w:r>
              <w:rPr>
                <w:rFonts w:hint="eastAsia" w:ascii="宋体" w:hAnsi="宋体" w:cs="宋体"/>
                <w:kern w:val="0"/>
                <w:sz w:val="19"/>
                <w:szCs w:val="19"/>
                <w:lang w:val="en-US" w:eastAsia="zh-CN"/>
              </w:rPr>
              <w:t>响应</w:t>
            </w:r>
            <w:r>
              <w:rPr>
                <w:rFonts w:hint="eastAsia" w:ascii="宋体" w:hAnsi="宋体" w:cs="宋体"/>
                <w:kern w:val="0"/>
                <w:sz w:val="19"/>
                <w:szCs w:val="19"/>
              </w:rPr>
              <w:t>人提供承诺函，格式自拟）。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w:t>
            </w:r>
            <w:r>
              <w:rPr>
                <w:rFonts w:ascii="宋体" w:hAnsi="宋体" w:cs="宋体"/>
                <w:kern w:val="0"/>
                <w:sz w:val="19"/>
                <w:szCs w:val="19"/>
                <w:highlight w:val="none"/>
              </w:rPr>
              <w:t>8</w:t>
            </w:r>
            <w:r>
              <w:rPr>
                <w:rFonts w:hint="eastAsia" w:ascii="宋体" w:hAnsi="宋体" w:cs="宋体"/>
                <w:kern w:val="0"/>
                <w:sz w:val="19"/>
                <w:szCs w:val="19"/>
                <w:highlight w:val="none"/>
              </w:rPr>
              <w:t>、供应产品时提供《药品生产企业许可证》《危险化学品经营许可证》《危险化学品安全生产许可证》《道路运输经营许可证》等证件复印件加盖公章。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b/>
                <w:bCs/>
                <w:kern w:val="0"/>
                <w:sz w:val="19"/>
                <w:szCs w:val="19"/>
              </w:rPr>
            </w:pPr>
          </w:p>
        </w:tc>
        <w:tc>
          <w:tcPr>
            <w:tcW w:w="8498" w:type="dxa"/>
          </w:tcPr>
          <w:p>
            <w:pPr>
              <w:widowControl/>
              <w:jc w:val="left"/>
              <w:rPr>
                <w:rFonts w:ascii="宋体" w:hAnsi="宋体" w:cs="宋体"/>
                <w:b/>
                <w:bCs/>
                <w:kern w:val="0"/>
                <w:sz w:val="19"/>
                <w:szCs w:val="19"/>
              </w:rPr>
            </w:pPr>
            <w:r>
              <w:rPr>
                <w:rFonts w:hint="eastAsia" w:ascii="宋体" w:hAnsi="宋体" w:cs="宋体"/>
                <w:b/>
                <w:bCs/>
                <w:kern w:val="0"/>
                <w:sz w:val="19"/>
                <w:szCs w:val="19"/>
              </w:rPr>
              <w:t>三、报价要求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 xml:space="preserve"> </w:t>
            </w:r>
            <w:r>
              <w:rPr>
                <w:rFonts w:hint="eastAsia" w:ascii="宋体" w:hAnsi="宋体" w:cs="宋体"/>
                <w:kern w:val="0"/>
                <w:sz w:val="19"/>
                <w:szCs w:val="19"/>
                <w:lang w:val="en-US" w:eastAsia="zh-CN"/>
              </w:rPr>
              <w:t>响应</w:t>
            </w:r>
            <w:r>
              <w:rPr>
                <w:rFonts w:hint="eastAsia" w:ascii="宋体" w:hAnsi="宋体" w:cs="宋体"/>
                <w:kern w:val="0"/>
                <w:sz w:val="19"/>
                <w:szCs w:val="19"/>
              </w:rPr>
              <w:t>人报价应包括货物设计、制造、包装、送货、安装、调试、检测、验收、培训、技术服务（包括技术资料、图纸的提供）、质保期保障等一切支出，并包含关税等所有税费。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rPr>
                <w:rFonts w:ascii="宋体" w:hAnsi="宋体" w:cs="宋体"/>
                <w:b/>
                <w:bCs/>
                <w:kern w:val="0"/>
                <w:sz w:val="19"/>
                <w:szCs w:val="19"/>
              </w:rPr>
            </w:pPr>
            <w:r>
              <w:rPr>
                <w:rFonts w:hint="eastAsia" w:ascii="宋体" w:hAnsi="宋体" w:cs="宋体"/>
                <w:b/>
                <w:bCs/>
                <w:kern w:val="0"/>
                <w:sz w:val="19"/>
                <w:szCs w:val="19"/>
              </w:rPr>
              <w:t>四、包装和运输</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lang w:val="en-US" w:eastAsia="zh-CN"/>
              </w:rPr>
              <w:t>成交</w:t>
            </w:r>
            <w:r>
              <w:rPr>
                <w:rFonts w:hint="eastAsia" w:ascii="宋体" w:hAnsi="宋体" w:cs="宋体"/>
                <w:kern w:val="0"/>
                <w:sz w:val="19"/>
                <w:szCs w:val="19"/>
              </w:rPr>
              <w:t>人应采取相应措施对货物进行包装，确保货物在正常作业和装卸条件下安全无损地到达合同指定地点。如</w:t>
            </w:r>
            <w:r>
              <w:rPr>
                <w:rFonts w:hint="eastAsia" w:ascii="宋体" w:hAnsi="宋体" w:cs="宋体"/>
                <w:kern w:val="0"/>
                <w:sz w:val="19"/>
                <w:szCs w:val="19"/>
                <w:lang w:val="en-US" w:eastAsia="zh-CN"/>
              </w:rPr>
              <w:t>成交</w:t>
            </w:r>
            <w:r>
              <w:rPr>
                <w:rFonts w:hint="eastAsia" w:ascii="宋体" w:hAnsi="宋体" w:cs="宋体"/>
                <w:kern w:val="0"/>
                <w:sz w:val="19"/>
                <w:szCs w:val="19"/>
              </w:rPr>
              <w:t>人所送货物存在分量不足、瓶身残旧污损、瓶身检测过期等不符合采购人验收标准的现象，采购人有权要求</w:t>
            </w:r>
            <w:r>
              <w:rPr>
                <w:rFonts w:hint="eastAsia" w:ascii="宋体" w:hAnsi="宋体" w:cs="宋体"/>
                <w:kern w:val="0"/>
                <w:sz w:val="19"/>
                <w:szCs w:val="19"/>
                <w:lang w:val="en-US" w:eastAsia="zh-CN"/>
              </w:rPr>
              <w:t>成交</w:t>
            </w:r>
            <w:r>
              <w:rPr>
                <w:rFonts w:hint="eastAsia" w:ascii="宋体" w:hAnsi="宋体" w:cs="宋体"/>
                <w:kern w:val="0"/>
                <w:sz w:val="19"/>
                <w:szCs w:val="19"/>
              </w:rPr>
              <w:t>人退货，及时更换新产品送达医院。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b/>
                <w:bCs/>
                <w:kern w:val="0"/>
                <w:sz w:val="19"/>
                <w:szCs w:val="19"/>
              </w:rPr>
            </w:pPr>
            <w:r>
              <w:rPr>
                <w:rFonts w:hint="eastAsia" w:ascii="宋体" w:hAnsi="宋体" w:cs="宋体"/>
                <w:b/>
                <w:bCs/>
                <w:kern w:val="0"/>
                <w:sz w:val="19"/>
                <w:szCs w:val="19"/>
              </w:rPr>
              <w:t>五、售后服务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lang w:val="en-US" w:eastAsia="zh-CN"/>
              </w:rPr>
              <w:t>成交</w:t>
            </w:r>
            <w:r>
              <w:rPr>
                <w:rFonts w:hint="eastAsia" w:ascii="宋体" w:hAnsi="宋体" w:cs="宋体"/>
                <w:kern w:val="0"/>
                <w:sz w:val="19"/>
                <w:szCs w:val="19"/>
              </w:rPr>
              <w:t>人供应产品时提供正式税务发票和盖有公章的送货单、每批次的检验合格证。如果有一项没有提供，该批货物不给予支付货款。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tc>
        <w:tc>
          <w:tcPr>
            <w:tcW w:w="383" w:type="dxa"/>
          </w:tcPr>
          <w:p>
            <w:pPr>
              <w:widowControl/>
              <w:jc w:val="left"/>
              <w:rPr>
                <w:rFonts w:ascii="宋体" w:hAnsi="宋体" w:cs="宋体"/>
                <w:kern w:val="0"/>
                <w:sz w:val="19"/>
                <w:szCs w:val="19"/>
              </w:rPr>
            </w:pPr>
          </w:p>
        </w:tc>
        <w:tc>
          <w:tcPr>
            <w:tcW w:w="8498" w:type="dxa"/>
          </w:tcPr>
          <w:p>
            <w:pPr>
              <w:widowControl/>
              <w:jc w:val="left"/>
              <w:rPr>
                <w:rFonts w:ascii="宋体" w:hAnsi="宋体" w:cs="宋体"/>
                <w:kern w:val="0"/>
                <w:sz w:val="19"/>
                <w:szCs w:val="19"/>
              </w:rPr>
            </w:pPr>
            <w:r>
              <w:rPr>
                <w:rFonts w:hint="eastAsia" w:ascii="宋体" w:hAnsi="宋体" w:cs="宋体"/>
                <w:kern w:val="0"/>
                <w:sz w:val="19"/>
                <w:szCs w:val="19"/>
              </w:rPr>
              <w:t>2、应在正常上班时间送货，特殊情况供货时间另行商定。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4" w:type="dxa"/>
          </w:tcPr>
          <w:p>
            <w:r>
              <w:t>说明</w:t>
            </w:r>
          </w:p>
        </w:tc>
        <w:tc>
          <w:tcPr>
            <w:tcW w:w="8881" w:type="dxa"/>
            <w:gridSpan w:val="2"/>
          </w:tcPr>
          <w:p>
            <w:pPr>
              <w:widowControl/>
              <w:jc w:val="left"/>
              <w:rPr>
                <w:rFonts w:ascii="宋体" w:hAnsi="宋体" w:cs="宋体"/>
                <w:kern w:val="0"/>
                <w:sz w:val="19"/>
                <w:szCs w:val="19"/>
              </w:rPr>
            </w:pPr>
            <w:r>
              <w:rPr>
                <w:rFonts w:ascii="宋体" w:hAnsi="宋体" w:cs="宋体"/>
                <w:kern w:val="0"/>
                <w:sz w:val="19"/>
                <w:szCs w:val="19"/>
              </w:rPr>
              <w:t>打“★”号条款为实质性条款，若有任何一条负偏离或不满足则导致响应无效。</w:t>
            </w:r>
          </w:p>
        </w:tc>
      </w:tr>
    </w:tbl>
    <w:p>
      <w:pPr>
        <w:numPr>
          <w:ilvl w:val="0"/>
          <w:numId w:val="0"/>
        </w:numPr>
        <w:spacing w:line="360" w:lineRule="auto"/>
        <w:ind w:leftChars="0"/>
        <w:rPr>
          <w:sz w:val="24"/>
        </w:rPr>
      </w:pPr>
    </w:p>
    <w:p>
      <w:pPr>
        <w:numPr>
          <w:ilvl w:val="0"/>
          <w:numId w:val="0"/>
        </w:numPr>
        <w:rPr>
          <w:rFonts w:hint="default"/>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p>
      <w:pPr>
        <w:numPr>
          <w:ilvl w:val="0"/>
          <w:numId w:val="0"/>
        </w:numPr>
        <w:rPr>
          <w:rFonts w:hint="eastAsia"/>
          <w:b w:val="0"/>
          <w:bCs w:val="0"/>
          <w:sz w:val="24"/>
          <w:lang w:val="en-US" w:eastAsia="zh-CN"/>
        </w:rPr>
      </w:pPr>
    </w:p>
    <w:p>
      <w:pPr>
        <w:numPr>
          <w:ilvl w:val="0"/>
          <w:numId w:val="0"/>
        </w:numPr>
        <w:rPr>
          <w:rFonts w:hint="eastAsia"/>
          <w:b w:val="0"/>
          <w:bCs w:val="0"/>
          <w:sz w:val="24"/>
          <w:lang w:val="en-US" w:eastAsia="zh-CN"/>
        </w:rPr>
      </w:pPr>
      <w:r>
        <w:rPr>
          <w:rFonts w:hint="eastAsia"/>
          <w:b w:val="0"/>
          <w:bCs w:val="0"/>
          <w:sz w:val="24"/>
          <w:lang w:val="en-US" w:eastAsia="zh-CN"/>
        </w:rPr>
        <w:t>四、合同模板（参考模板，最终合同以院方与成交商协商确定）</w:t>
      </w:r>
    </w:p>
    <w:p>
      <w:pPr>
        <w:jc w:val="center"/>
        <w:rPr>
          <w:rFonts w:ascii="黑体" w:hAnsi="黑体" w:eastAsia="黑体"/>
          <w:sz w:val="36"/>
          <w:szCs w:val="36"/>
        </w:rPr>
      </w:pPr>
      <w:r>
        <w:rPr>
          <w:rFonts w:hint="eastAsia" w:ascii="黑体" w:hAnsi="黑体" w:eastAsia="黑体"/>
          <w:sz w:val="36"/>
          <w:szCs w:val="36"/>
        </w:rPr>
        <w:t>医用气体采购合同</w:t>
      </w:r>
    </w:p>
    <w:p>
      <w:pPr>
        <w:rPr>
          <w:rFonts w:ascii="宋体" w:hAnsi="宋体" w:cs="宋体"/>
          <w:b/>
          <w:bCs/>
          <w:sz w:val="28"/>
          <w:szCs w:val="28"/>
        </w:rPr>
      </w:pPr>
      <w:r>
        <w:rPr>
          <w:rFonts w:hint="eastAsia" w:ascii="宋体" w:hAnsi="宋体" w:cs="宋体"/>
          <w:b/>
          <w:bCs/>
          <w:sz w:val="28"/>
          <w:szCs w:val="28"/>
        </w:rPr>
        <w:t>甲  方：南方医科大学中西医结合医院</w:t>
      </w:r>
    </w:p>
    <w:p>
      <w:pPr>
        <w:rPr>
          <w:rFonts w:ascii="黑体" w:hAnsi="黑体" w:eastAsia="黑体"/>
          <w:sz w:val="36"/>
          <w:szCs w:val="36"/>
        </w:rPr>
      </w:pPr>
      <w:r>
        <w:rPr>
          <w:rFonts w:hint="eastAsia" w:ascii="宋体" w:hAnsi="宋体" w:cs="宋体"/>
          <w:b/>
          <w:bCs/>
          <w:sz w:val="28"/>
          <w:szCs w:val="28"/>
        </w:rPr>
        <w:t>乙  方：</w:t>
      </w:r>
      <w:r>
        <w:rPr>
          <w:rFonts w:hint="eastAsia" w:ascii="黑体" w:hAnsi="黑体" w:eastAsia="黑体"/>
          <w:sz w:val="36"/>
          <w:szCs w:val="36"/>
        </w:rPr>
        <w:t xml:space="preserve"> </w:t>
      </w:r>
    </w:p>
    <w:p>
      <w:pPr>
        <w:spacing w:line="360" w:lineRule="auto"/>
        <w:ind w:firstLine="480" w:firstLineChars="200"/>
        <w:rPr>
          <w:rFonts w:ascii="仿宋" w:hAnsi="仿宋" w:eastAsia="仿宋" w:cs="仿宋"/>
          <w:sz w:val="24"/>
        </w:rPr>
      </w:pPr>
      <w:r>
        <w:rPr>
          <w:rFonts w:hint="eastAsia" w:ascii="仿宋" w:hAnsi="仿宋" w:eastAsia="仿宋" w:cs="仿宋"/>
          <w:sz w:val="24"/>
        </w:rPr>
        <w:t>根据《中华人民共和国民法典》及南方医科大学中西医结合医院   号采购南方医科大学中西医结合医院采购医用气体供应服务项目，甲、乙双方经协商确定，甲方向乙方采购下列产品供应服务，为明确双方责任和权利，特签订本合同，共同遵守。具体条款如下：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1、产品名称、质量标准、计量单位、含税单价及运费：</w:t>
      </w:r>
    </w:p>
    <w:p>
      <w:pPr>
        <w:spacing w:line="360" w:lineRule="auto"/>
        <w:ind w:firstLine="480" w:firstLineChars="200"/>
        <w:rPr>
          <w:rFonts w:ascii="仿宋" w:hAnsi="仿宋" w:eastAsia="仿宋" w:cs="仿宋"/>
          <w:sz w:val="24"/>
        </w:rPr>
      </w:pPr>
      <w:r>
        <w:rPr>
          <w:rFonts w:hint="eastAsia" w:ascii="仿宋" w:hAnsi="仿宋" w:eastAsia="仿宋" w:cs="仿宋"/>
          <w:sz w:val="24"/>
        </w:rPr>
        <w:t>乙方负责向甲方供应下表中所列产品:</w:t>
      </w:r>
      <w:r>
        <w:rPr>
          <w:rFonts w:hint="eastAsia" w:ascii="仿宋" w:hAnsi="仿宋" w:eastAsia="仿宋" w:cs="仿宋"/>
          <w:sz w:val="24"/>
        </w:rPr>
        <w:tab/>
      </w:r>
      <w:r>
        <w:rPr>
          <w:rFonts w:hint="eastAsia" w:ascii="仿宋" w:hAnsi="仿宋" w:eastAsia="仿宋" w:cs="仿宋"/>
          <w:sz w:val="24"/>
        </w:rPr>
        <w:tab/>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360" w:lineRule="auto"/>
              <w:rPr>
                <w:rFonts w:ascii="仿宋" w:hAnsi="仿宋" w:eastAsia="仿宋" w:cs="仿宋"/>
                <w:sz w:val="24"/>
              </w:rPr>
            </w:pPr>
            <w:r>
              <w:rPr>
                <w:rFonts w:hint="eastAsia" w:ascii="仿宋" w:hAnsi="仿宋" w:eastAsia="仿宋" w:cs="仿宋"/>
                <w:sz w:val="24"/>
              </w:rPr>
              <w:t>序号</w:t>
            </w:r>
          </w:p>
        </w:tc>
        <w:tc>
          <w:tcPr>
            <w:tcW w:w="1419" w:type="dxa"/>
          </w:tcPr>
          <w:p>
            <w:pPr>
              <w:spacing w:line="360" w:lineRule="auto"/>
              <w:rPr>
                <w:rFonts w:ascii="仿宋" w:hAnsi="仿宋" w:eastAsia="仿宋" w:cs="仿宋"/>
                <w:sz w:val="24"/>
              </w:rPr>
            </w:pPr>
            <w:r>
              <w:rPr>
                <w:rFonts w:hint="eastAsia" w:ascii="仿宋" w:hAnsi="仿宋" w:eastAsia="仿宋" w:cs="仿宋"/>
                <w:sz w:val="24"/>
              </w:rPr>
              <w:t>产品名称</w:t>
            </w:r>
          </w:p>
        </w:tc>
        <w:tc>
          <w:tcPr>
            <w:tcW w:w="1420" w:type="dxa"/>
          </w:tcPr>
          <w:p>
            <w:pPr>
              <w:spacing w:line="360" w:lineRule="auto"/>
              <w:rPr>
                <w:rFonts w:ascii="仿宋" w:hAnsi="仿宋" w:eastAsia="仿宋" w:cs="仿宋"/>
                <w:sz w:val="24"/>
              </w:rPr>
            </w:pPr>
            <w:r>
              <w:rPr>
                <w:rFonts w:hint="eastAsia" w:ascii="仿宋" w:hAnsi="仿宋" w:eastAsia="仿宋" w:cs="仿宋"/>
                <w:sz w:val="24"/>
              </w:rPr>
              <w:t>产地规格</w:t>
            </w:r>
          </w:p>
          <w:p>
            <w:pPr>
              <w:spacing w:line="360" w:lineRule="auto"/>
              <w:rPr>
                <w:rFonts w:ascii="仿宋" w:hAnsi="仿宋" w:eastAsia="仿宋" w:cs="仿宋"/>
                <w:sz w:val="24"/>
              </w:rPr>
            </w:pPr>
            <w:r>
              <w:rPr>
                <w:rFonts w:hint="eastAsia" w:ascii="仿宋" w:hAnsi="仿宋" w:eastAsia="仿宋" w:cs="仿宋"/>
                <w:sz w:val="24"/>
              </w:rPr>
              <w:t>型号</w:t>
            </w:r>
          </w:p>
        </w:tc>
        <w:tc>
          <w:tcPr>
            <w:tcW w:w="1420" w:type="dxa"/>
          </w:tcPr>
          <w:p>
            <w:pPr>
              <w:spacing w:line="360" w:lineRule="auto"/>
              <w:rPr>
                <w:rFonts w:ascii="仿宋" w:hAnsi="仿宋" w:eastAsia="仿宋" w:cs="仿宋"/>
                <w:sz w:val="24"/>
              </w:rPr>
            </w:pPr>
            <w:r>
              <w:rPr>
                <w:rFonts w:hint="eastAsia" w:ascii="仿宋" w:hAnsi="仿宋" w:eastAsia="仿宋" w:cs="仿宋"/>
                <w:sz w:val="24"/>
              </w:rPr>
              <w:t>纯度</w:t>
            </w:r>
          </w:p>
        </w:tc>
        <w:tc>
          <w:tcPr>
            <w:tcW w:w="1420" w:type="dxa"/>
          </w:tcPr>
          <w:p>
            <w:pPr>
              <w:spacing w:line="360" w:lineRule="auto"/>
              <w:rPr>
                <w:rFonts w:ascii="仿宋" w:hAnsi="仿宋" w:eastAsia="仿宋" w:cs="仿宋"/>
                <w:sz w:val="24"/>
              </w:rPr>
            </w:pPr>
            <w:r>
              <w:rPr>
                <w:rFonts w:hint="eastAsia" w:ascii="仿宋" w:hAnsi="仿宋" w:eastAsia="仿宋" w:cs="仿宋"/>
                <w:sz w:val="24"/>
              </w:rPr>
              <w:t>单位</w:t>
            </w:r>
          </w:p>
        </w:tc>
        <w:tc>
          <w:tcPr>
            <w:tcW w:w="1420" w:type="dxa"/>
          </w:tcPr>
          <w:p>
            <w:pPr>
              <w:spacing w:line="360" w:lineRule="auto"/>
              <w:rPr>
                <w:rFonts w:ascii="仿宋" w:hAnsi="仿宋" w:eastAsia="仿宋" w:cs="仿宋"/>
                <w:sz w:val="24"/>
              </w:rPr>
            </w:pPr>
            <w:r>
              <w:rPr>
                <w:rFonts w:hint="eastAsia" w:ascii="仿宋" w:hAnsi="仿宋" w:eastAsia="仿宋" w:cs="仿宋"/>
                <w:sz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spacing w:line="360" w:lineRule="auto"/>
              <w:rPr>
                <w:rFonts w:ascii="仿宋" w:hAnsi="仿宋" w:eastAsia="仿宋" w:cs="仿宋"/>
                <w:sz w:val="24"/>
              </w:rPr>
            </w:pPr>
          </w:p>
        </w:tc>
        <w:tc>
          <w:tcPr>
            <w:tcW w:w="1419" w:type="dxa"/>
          </w:tcPr>
          <w:p>
            <w:pPr>
              <w:spacing w:line="360" w:lineRule="auto"/>
              <w:rPr>
                <w:rFonts w:ascii="仿宋" w:hAnsi="仿宋" w:eastAsia="仿宋" w:cs="仿宋"/>
                <w:sz w:val="24"/>
              </w:rPr>
            </w:pPr>
          </w:p>
        </w:tc>
        <w:tc>
          <w:tcPr>
            <w:tcW w:w="1420" w:type="dxa"/>
          </w:tcPr>
          <w:p>
            <w:pPr>
              <w:spacing w:line="360" w:lineRule="auto"/>
              <w:rPr>
                <w:rFonts w:ascii="仿宋" w:hAnsi="仿宋" w:eastAsia="仿宋" w:cs="仿宋"/>
                <w:sz w:val="24"/>
              </w:rPr>
            </w:pPr>
          </w:p>
        </w:tc>
        <w:tc>
          <w:tcPr>
            <w:tcW w:w="1420" w:type="dxa"/>
          </w:tcPr>
          <w:p>
            <w:pPr>
              <w:spacing w:line="360" w:lineRule="auto"/>
              <w:rPr>
                <w:rFonts w:ascii="仿宋" w:hAnsi="仿宋" w:eastAsia="仿宋" w:cs="仿宋"/>
                <w:sz w:val="24"/>
              </w:rPr>
            </w:pPr>
          </w:p>
        </w:tc>
        <w:tc>
          <w:tcPr>
            <w:tcW w:w="1420" w:type="dxa"/>
          </w:tcPr>
          <w:p>
            <w:pPr>
              <w:spacing w:line="360" w:lineRule="auto"/>
              <w:rPr>
                <w:rFonts w:ascii="仿宋" w:hAnsi="仿宋" w:eastAsia="仿宋" w:cs="仿宋"/>
                <w:sz w:val="24"/>
              </w:rPr>
            </w:pPr>
          </w:p>
        </w:tc>
        <w:tc>
          <w:tcPr>
            <w:tcW w:w="1420" w:type="dxa"/>
          </w:tcPr>
          <w:p>
            <w:pPr>
              <w:spacing w:line="360" w:lineRule="auto"/>
              <w:rPr>
                <w:rFonts w:ascii="仿宋" w:hAnsi="仿宋" w:eastAsia="仿宋" w:cs="仿宋"/>
                <w:sz w:val="24"/>
              </w:rPr>
            </w:pPr>
          </w:p>
        </w:tc>
      </w:tr>
    </w:tbl>
    <w:p>
      <w:pPr>
        <w:spacing w:line="360" w:lineRule="auto"/>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 xml:space="preserve"> </w:t>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ab/>
      </w:r>
    </w:p>
    <w:p>
      <w:pPr>
        <w:spacing w:line="360" w:lineRule="auto"/>
        <w:ind w:firstLine="480" w:firstLineChars="200"/>
        <w:rPr>
          <w:rFonts w:ascii="仿宋" w:hAnsi="仿宋" w:eastAsia="仿宋" w:cs="仿宋"/>
          <w:sz w:val="24"/>
        </w:rPr>
      </w:pPr>
      <w:r>
        <w:rPr>
          <w:rFonts w:hint="eastAsia" w:ascii="仿宋" w:hAnsi="仿宋" w:eastAsia="仿宋" w:cs="仿宋"/>
          <w:sz w:val="24"/>
        </w:rPr>
        <w:t>2、合同期限和终止</w:t>
      </w:r>
    </w:p>
    <w:p>
      <w:pPr>
        <w:spacing w:line="360" w:lineRule="auto"/>
        <w:ind w:firstLine="480" w:firstLineChars="200"/>
        <w:rPr>
          <w:rFonts w:ascii="仿宋" w:hAnsi="仿宋" w:eastAsia="仿宋" w:cs="仿宋"/>
          <w:sz w:val="24"/>
        </w:rPr>
      </w:pPr>
      <w:r>
        <w:rPr>
          <w:rFonts w:hint="eastAsia" w:ascii="仿宋" w:hAnsi="仿宋" w:eastAsia="仿宋" w:cs="仿宋"/>
          <w:sz w:val="24"/>
        </w:rPr>
        <w:t>2.1 本合同自签订之日起生效。本合同的初始期限为  年。</w:t>
      </w:r>
    </w:p>
    <w:p>
      <w:pPr>
        <w:spacing w:line="360" w:lineRule="auto"/>
        <w:ind w:firstLine="480" w:firstLineChars="200"/>
        <w:rPr>
          <w:rFonts w:ascii="仿宋" w:hAnsi="仿宋" w:eastAsia="仿宋" w:cs="仿宋"/>
          <w:sz w:val="24"/>
        </w:rPr>
      </w:pPr>
      <w:r>
        <w:rPr>
          <w:rFonts w:hint="eastAsia" w:ascii="仿宋" w:hAnsi="仿宋" w:eastAsia="仿宋" w:cs="仿宋"/>
          <w:sz w:val="24"/>
        </w:rPr>
        <w:t>3、订货、交付和计量</w:t>
      </w:r>
    </w:p>
    <w:p>
      <w:pPr>
        <w:spacing w:line="360" w:lineRule="auto"/>
        <w:ind w:firstLine="480" w:firstLineChars="200"/>
        <w:rPr>
          <w:rFonts w:ascii="仿宋" w:hAnsi="仿宋" w:eastAsia="仿宋" w:cs="仿宋"/>
          <w:sz w:val="24"/>
        </w:rPr>
      </w:pPr>
      <w:r>
        <w:rPr>
          <w:rFonts w:hint="eastAsia" w:ascii="仿宋" w:hAnsi="仿宋" w:eastAsia="仿宋" w:cs="仿宋"/>
          <w:sz w:val="24"/>
        </w:rPr>
        <w:t>3.1 合同期限内甲方同意向乙方购买其第 1 条中所列的全部产品。甲方应至少提前 24 小时向乙方发出订货通知，且应保证订货数量的准确性；乙方将于确认送货通知后24小时内运送产品到合同约定的交付点南方医科大学中西医结合医院院内。</w:t>
      </w:r>
    </w:p>
    <w:p>
      <w:pPr>
        <w:spacing w:line="360" w:lineRule="auto"/>
        <w:ind w:firstLine="480" w:firstLineChars="200"/>
        <w:rPr>
          <w:rFonts w:ascii="仿宋" w:hAnsi="仿宋" w:eastAsia="仿宋" w:cs="仿宋"/>
          <w:sz w:val="24"/>
        </w:rPr>
      </w:pPr>
      <w:r>
        <w:rPr>
          <w:rFonts w:hint="eastAsia" w:ascii="仿宋" w:hAnsi="仿宋" w:eastAsia="仿宋" w:cs="仿宋"/>
          <w:sz w:val="24"/>
        </w:rPr>
        <w:t>3.2 乙方将产品送至交付点，甲方应确保24小时收货，并为乙方卸货提供快捷方便的办理手续。甲方在乙方的送货单上签收即视为认可乙方交付产品的数量，产品的所有权从乙方转至甲方。</w:t>
      </w:r>
    </w:p>
    <w:p>
      <w:pPr>
        <w:spacing w:line="360" w:lineRule="auto"/>
        <w:ind w:firstLine="480" w:firstLineChars="200"/>
        <w:rPr>
          <w:rFonts w:ascii="仿宋" w:hAnsi="仿宋" w:eastAsia="仿宋" w:cs="仿宋"/>
          <w:sz w:val="24"/>
        </w:rPr>
      </w:pPr>
      <w:r>
        <w:rPr>
          <w:rFonts w:hint="eastAsia" w:ascii="仿宋" w:hAnsi="仿宋" w:eastAsia="仿宋" w:cs="仿宋"/>
          <w:sz w:val="24"/>
        </w:rPr>
        <w:t>3.3 乙方所提供产品及设备，必须符合国家有关法规、标准和规范，环境保护要求以及该产品的出厂标准，符合甲方的技术要求，并提供设备的厂试测验报告和合格证。</w:t>
      </w:r>
    </w:p>
    <w:p>
      <w:pPr>
        <w:spacing w:line="360" w:lineRule="auto"/>
        <w:ind w:firstLine="480" w:firstLineChars="200"/>
        <w:rPr>
          <w:rFonts w:ascii="仿宋" w:hAnsi="仿宋" w:eastAsia="仿宋" w:cs="仿宋"/>
          <w:sz w:val="24"/>
        </w:rPr>
      </w:pPr>
      <w:r>
        <w:rPr>
          <w:rFonts w:hint="eastAsia" w:ascii="仿宋" w:hAnsi="仿宋" w:eastAsia="仿宋" w:cs="仿宋"/>
          <w:sz w:val="24"/>
        </w:rPr>
        <w:t>4、价格和价格调整</w:t>
      </w:r>
    </w:p>
    <w:p>
      <w:pPr>
        <w:spacing w:line="360" w:lineRule="auto"/>
        <w:rPr>
          <w:rFonts w:ascii="仿宋" w:hAnsi="仿宋" w:eastAsia="仿宋" w:cs="仿宋"/>
          <w:sz w:val="24"/>
        </w:rPr>
      </w:pPr>
      <w:r>
        <w:rPr>
          <w:rFonts w:hint="eastAsia" w:ascii="仿宋" w:hAnsi="仿宋" w:eastAsia="仿宋" w:cs="仿宋"/>
          <w:sz w:val="24"/>
        </w:rPr>
        <w:t>产品价格列于合同第1条，本合同期内保持不变。</w:t>
      </w:r>
    </w:p>
    <w:p>
      <w:pPr>
        <w:spacing w:line="360" w:lineRule="auto"/>
        <w:ind w:firstLine="480" w:firstLineChars="200"/>
        <w:rPr>
          <w:rFonts w:ascii="仿宋" w:hAnsi="仿宋" w:eastAsia="仿宋" w:cs="仿宋"/>
          <w:sz w:val="24"/>
        </w:rPr>
      </w:pPr>
      <w:r>
        <w:rPr>
          <w:rFonts w:hint="eastAsia" w:ascii="仿宋" w:hAnsi="仿宋" w:eastAsia="仿宋" w:cs="仿宋"/>
          <w:sz w:val="24"/>
        </w:rPr>
        <w:t>5、付款办法</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5.1 每月的 </w:t>
      </w:r>
      <w:r>
        <w:rPr>
          <w:rFonts w:ascii="仿宋" w:hAnsi="仿宋" w:eastAsia="仿宋" w:cs="仿宋"/>
          <w:sz w:val="24"/>
        </w:rPr>
        <w:t>25</w:t>
      </w:r>
      <w:r>
        <w:rPr>
          <w:rFonts w:hint="eastAsia" w:ascii="仿宋" w:hAnsi="仿宋" w:eastAsia="仿宋" w:cs="仿宋"/>
          <w:sz w:val="24"/>
        </w:rPr>
        <w:t>日为双方财务结算日。</w:t>
      </w:r>
      <w:r>
        <w:rPr>
          <w:rFonts w:ascii="仿宋" w:hAnsi="仿宋" w:eastAsia="仿宋" w:cs="仿宋"/>
          <w:sz w:val="24"/>
        </w:rPr>
        <w:t>乙方须凭双方自己签字确认的数量、 款项以及验收单据， 开具相应发票后向甲方申请付款。</w:t>
      </w:r>
      <w:r>
        <w:rPr>
          <w:rFonts w:hint="eastAsia" w:ascii="仿宋" w:hAnsi="仿宋" w:eastAsia="仿宋" w:cs="仿宋"/>
          <w:sz w:val="24"/>
        </w:rPr>
        <w:t>乙方应就上一个月内向甲方交付的产品向甲方开具增值税发票。</w:t>
      </w:r>
    </w:p>
    <w:p>
      <w:pPr>
        <w:spacing w:line="360" w:lineRule="auto"/>
        <w:ind w:firstLine="480" w:firstLineChars="200"/>
        <w:rPr>
          <w:rFonts w:ascii="仿宋" w:hAnsi="仿宋" w:eastAsia="仿宋" w:cs="仿宋"/>
          <w:sz w:val="24"/>
        </w:rPr>
      </w:pPr>
      <w:r>
        <w:rPr>
          <w:rFonts w:hint="eastAsia" w:ascii="仿宋" w:hAnsi="仿宋" w:eastAsia="仿宋" w:cs="仿宋"/>
          <w:sz w:val="24"/>
        </w:rPr>
        <w:t>5.2 甲方应于结算日后的</w:t>
      </w:r>
      <w:r>
        <w:rPr>
          <w:rFonts w:ascii="仿宋" w:hAnsi="仿宋" w:eastAsia="仿宋" w:cs="仿宋"/>
          <w:sz w:val="24"/>
        </w:rPr>
        <w:t>60</w:t>
      </w:r>
      <w:r>
        <w:rPr>
          <w:rFonts w:hint="eastAsia" w:ascii="仿宋" w:hAnsi="仿宋" w:eastAsia="仿宋" w:cs="仿宋"/>
          <w:sz w:val="24"/>
        </w:rPr>
        <w:t>天之内向乙方付清 5.1 之款项，并支付至乙方 指定的以下银行账户。</w:t>
      </w:r>
    </w:p>
    <w:p>
      <w:pPr>
        <w:spacing w:line="360" w:lineRule="auto"/>
        <w:rPr>
          <w:rFonts w:ascii="仿宋" w:hAnsi="仿宋" w:eastAsia="仿宋" w:cs="仿宋"/>
          <w:sz w:val="24"/>
        </w:rPr>
      </w:pPr>
      <w:r>
        <w:rPr>
          <w:rFonts w:hint="eastAsia" w:ascii="仿宋" w:hAnsi="仿宋" w:eastAsia="仿宋" w:cs="仿宋"/>
          <w:sz w:val="24"/>
        </w:rPr>
        <w:t xml:space="preserve">乙      方： </w:t>
      </w:r>
    </w:p>
    <w:p>
      <w:pPr>
        <w:spacing w:line="360" w:lineRule="auto"/>
        <w:rPr>
          <w:rFonts w:ascii="仿宋" w:hAnsi="仿宋" w:eastAsia="仿宋" w:cs="仿宋"/>
          <w:sz w:val="24"/>
        </w:rPr>
      </w:pPr>
      <w:r>
        <w:rPr>
          <w:rFonts w:hint="eastAsia" w:ascii="仿宋" w:hAnsi="仿宋" w:eastAsia="仿宋" w:cs="仿宋"/>
          <w:sz w:val="24"/>
        </w:rPr>
        <w:t>开户行名称：</w:t>
      </w:r>
    </w:p>
    <w:p>
      <w:pPr>
        <w:spacing w:line="360" w:lineRule="auto"/>
        <w:rPr>
          <w:rFonts w:ascii="仿宋" w:hAnsi="仿宋" w:eastAsia="仿宋" w:cs="仿宋"/>
          <w:sz w:val="24"/>
        </w:rPr>
      </w:pPr>
      <w:r>
        <w:rPr>
          <w:rFonts w:hint="eastAsia" w:ascii="仿宋" w:hAnsi="仿宋" w:eastAsia="仿宋" w:cs="仿宋"/>
          <w:sz w:val="24"/>
        </w:rPr>
        <w:t>银行账号：</w:t>
      </w:r>
    </w:p>
    <w:p>
      <w:pPr>
        <w:spacing w:line="360" w:lineRule="auto"/>
        <w:ind w:firstLine="480" w:firstLineChars="200"/>
        <w:rPr>
          <w:rFonts w:ascii="仿宋" w:hAnsi="仿宋" w:eastAsia="仿宋" w:cs="仿宋"/>
          <w:sz w:val="24"/>
        </w:rPr>
      </w:pPr>
      <w:r>
        <w:rPr>
          <w:rFonts w:hint="eastAsia" w:ascii="仿宋" w:hAnsi="仿宋" w:eastAsia="仿宋" w:cs="仿宋"/>
          <w:sz w:val="24"/>
        </w:rPr>
        <w:t>6、违约责任</w:t>
      </w:r>
    </w:p>
    <w:p>
      <w:pPr>
        <w:spacing w:line="360" w:lineRule="auto"/>
        <w:ind w:firstLine="480" w:firstLineChars="200"/>
        <w:rPr>
          <w:rFonts w:ascii="仿宋" w:hAnsi="仿宋" w:eastAsia="仿宋" w:cs="仿宋"/>
          <w:sz w:val="24"/>
        </w:rPr>
      </w:pPr>
      <w:r>
        <w:rPr>
          <w:rFonts w:hint="eastAsia" w:ascii="仿宋" w:hAnsi="仿宋" w:eastAsia="仿宋" w:cs="仿宋"/>
          <w:sz w:val="24"/>
        </w:rPr>
        <w:t>6.1 乙方保证所提供的产品、质量符合双方所签订的要求。若出现质量问题， 则甲乙双方在确认责任后，分别承担各自应负的责任。</w:t>
      </w:r>
    </w:p>
    <w:p>
      <w:pPr>
        <w:spacing w:line="360" w:lineRule="auto"/>
        <w:ind w:firstLine="480" w:firstLineChars="200"/>
        <w:rPr>
          <w:rFonts w:ascii="仿宋" w:hAnsi="仿宋" w:eastAsia="仿宋" w:cs="仿宋"/>
          <w:sz w:val="24"/>
        </w:rPr>
      </w:pPr>
      <w:r>
        <w:rPr>
          <w:rFonts w:hint="eastAsia" w:ascii="仿宋" w:hAnsi="仿宋" w:eastAsia="仿宋" w:cs="仿宋"/>
          <w:sz w:val="24"/>
        </w:rPr>
        <w:t>6.2 为确保使用安全，未经乙方的书面同意，甲方不得擅自用乙方的杜瓦罐和气瓶购买其它厂商的产品，否则所产生的后果由甲方负责。</w:t>
      </w:r>
    </w:p>
    <w:p>
      <w:pPr>
        <w:spacing w:line="360" w:lineRule="auto"/>
        <w:ind w:firstLine="480" w:firstLineChars="200"/>
        <w:rPr>
          <w:rFonts w:ascii="仿宋" w:hAnsi="仿宋" w:eastAsia="仿宋" w:cs="仿宋"/>
          <w:sz w:val="24"/>
        </w:rPr>
      </w:pPr>
      <w:r>
        <w:rPr>
          <w:rFonts w:hint="eastAsia" w:ascii="仿宋" w:hAnsi="仿宋" w:eastAsia="仿宋" w:cs="仿宋"/>
          <w:sz w:val="24"/>
        </w:rPr>
        <w:t>6.3 乙方保证甲方的医用液体、气体用量，保证按时将甲方所用医用液体、气体送至所在地，否则承担应负责任，遇不可抗力因素除外。</w:t>
      </w:r>
    </w:p>
    <w:p>
      <w:pPr>
        <w:spacing w:line="360" w:lineRule="auto"/>
        <w:ind w:firstLine="480" w:firstLineChars="200"/>
        <w:rPr>
          <w:rFonts w:ascii="仿宋" w:hAnsi="仿宋" w:eastAsia="仿宋" w:cs="仿宋"/>
          <w:sz w:val="24"/>
        </w:rPr>
      </w:pPr>
      <w:r>
        <w:rPr>
          <w:rFonts w:hint="eastAsia" w:ascii="仿宋" w:hAnsi="仿宋" w:eastAsia="仿宋" w:cs="仿宋"/>
          <w:sz w:val="24"/>
        </w:rPr>
        <w:t>6.4 乙方交付的货物不符合合同规定的，甲方有权拒收，同时乙方应向甲方 支付该批次货物总价的 5%的违约金，并保证于   日内重新供应符合合同规定的货物。</w:t>
      </w:r>
    </w:p>
    <w:p>
      <w:pPr>
        <w:spacing w:line="360" w:lineRule="auto"/>
        <w:ind w:firstLine="480" w:firstLineChars="200"/>
        <w:rPr>
          <w:rFonts w:ascii="仿宋" w:hAnsi="仿宋" w:eastAsia="仿宋" w:cs="仿宋"/>
          <w:sz w:val="24"/>
        </w:rPr>
      </w:pPr>
      <w:r>
        <w:rPr>
          <w:rFonts w:hint="eastAsia" w:ascii="仿宋" w:hAnsi="仿宋" w:eastAsia="仿宋" w:cs="仿宋"/>
          <w:sz w:val="24"/>
        </w:rPr>
        <w:t>6.5 乙方逾期交货，或货物逾期通过验收的，乙方均应支付逾期违约金，每日按该批次货物总价的 5‰计算；逾期超过三十日的，乙方需向甲方另行支付 30 万元的违约金，且甲方有权单方解除本合同，乙方应于收到甲方发出的解除通知书后三日内无条件退回甲方已支付的全部款项。</w:t>
      </w:r>
    </w:p>
    <w:p>
      <w:pPr>
        <w:spacing w:line="360" w:lineRule="auto"/>
        <w:ind w:firstLine="480" w:firstLineChars="200"/>
        <w:rPr>
          <w:rFonts w:ascii="仿宋" w:hAnsi="仿宋" w:eastAsia="仿宋" w:cs="仿宋"/>
          <w:sz w:val="24"/>
        </w:rPr>
      </w:pPr>
      <w:r>
        <w:rPr>
          <w:rFonts w:hint="eastAsia" w:ascii="仿宋" w:hAnsi="仿宋" w:eastAsia="仿宋" w:cs="仿宋"/>
          <w:sz w:val="24"/>
        </w:rPr>
        <w:t>6.6 未经甲方书面同意，乙方不得将本合同项下全部或部分权利、义务转让 给任何第三方，否则甲方有权单方解除本合同，乙方需向甲方支付人民币 60 万 元的违约金。</w:t>
      </w:r>
    </w:p>
    <w:p>
      <w:pPr>
        <w:spacing w:line="360" w:lineRule="auto"/>
        <w:ind w:firstLine="480" w:firstLineChars="200"/>
        <w:rPr>
          <w:rFonts w:ascii="仿宋" w:hAnsi="仿宋" w:eastAsia="仿宋" w:cs="仿宋"/>
          <w:sz w:val="24"/>
        </w:rPr>
      </w:pPr>
      <w:r>
        <w:rPr>
          <w:rFonts w:hint="eastAsia" w:ascii="仿宋" w:hAnsi="仿宋" w:eastAsia="仿宋" w:cs="仿宋"/>
          <w:sz w:val="24"/>
        </w:rPr>
        <w:t>6.7 甲方应依合同规定时间内，向乙方退还履约保证金，每拖延一天甲方 将按照甲方院内规定支付赔偿。</w:t>
      </w:r>
    </w:p>
    <w:p>
      <w:pPr>
        <w:spacing w:line="360" w:lineRule="auto"/>
        <w:ind w:firstLine="480" w:firstLineChars="200"/>
        <w:rPr>
          <w:rFonts w:ascii="仿宋" w:hAnsi="仿宋" w:eastAsia="仿宋" w:cs="仿宋"/>
          <w:sz w:val="24"/>
        </w:rPr>
      </w:pPr>
      <w:r>
        <w:rPr>
          <w:rFonts w:hint="eastAsia" w:ascii="仿宋" w:hAnsi="仿宋" w:eastAsia="仿宋" w:cs="仿宋"/>
          <w:sz w:val="24"/>
        </w:rPr>
        <w:t>7、其他约定</w:t>
      </w:r>
    </w:p>
    <w:p>
      <w:pPr>
        <w:spacing w:line="360" w:lineRule="auto"/>
        <w:ind w:firstLine="480" w:firstLineChars="200"/>
        <w:rPr>
          <w:rFonts w:ascii="仿宋" w:hAnsi="仿宋" w:eastAsia="仿宋" w:cs="仿宋"/>
          <w:sz w:val="24"/>
        </w:rPr>
      </w:pPr>
      <w:r>
        <w:rPr>
          <w:rFonts w:hint="eastAsia" w:ascii="仿宋" w:hAnsi="仿宋" w:eastAsia="仿宋" w:cs="仿宋"/>
          <w:sz w:val="24"/>
        </w:rPr>
        <w:t>7.1 甲、乙双方任何一方因不可抗力的原因不能履行本合同时，可以全部或部分免除违约的责任。不可抗力发生后，当事人一方必须及时向对方通报不能履行或延期履行或部分履行本合同的理由和不可抗力发生后的具体情况，否则就 要承担由此产生的对方当事人的损失。</w:t>
      </w:r>
    </w:p>
    <w:p>
      <w:pPr>
        <w:spacing w:line="360" w:lineRule="auto"/>
        <w:ind w:firstLine="480" w:firstLineChars="200"/>
        <w:rPr>
          <w:rFonts w:ascii="仿宋" w:hAnsi="仿宋" w:eastAsia="仿宋" w:cs="仿宋"/>
          <w:sz w:val="24"/>
        </w:rPr>
      </w:pPr>
      <w:r>
        <w:rPr>
          <w:rFonts w:hint="eastAsia" w:ascii="仿宋" w:hAnsi="仿宋" w:eastAsia="仿宋" w:cs="仿宋"/>
          <w:sz w:val="24"/>
        </w:rPr>
        <w:t>7.2 若因设备出现故障或因特殊情况需紧急用气，乙方在接到通知后，   小 时内备用气体到达现场并协助解决问题。</w:t>
      </w:r>
    </w:p>
    <w:p>
      <w:pPr>
        <w:spacing w:line="360" w:lineRule="auto"/>
        <w:ind w:firstLine="480" w:firstLineChars="200"/>
        <w:rPr>
          <w:rFonts w:ascii="仿宋" w:hAnsi="仿宋" w:eastAsia="仿宋" w:cs="仿宋"/>
          <w:sz w:val="24"/>
        </w:rPr>
      </w:pPr>
      <w:r>
        <w:rPr>
          <w:rFonts w:hint="eastAsia" w:ascii="仿宋" w:hAnsi="仿宋" w:eastAsia="仿宋" w:cs="仿宋"/>
          <w:sz w:val="24"/>
        </w:rPr>
        <w:t>7.3 乙方为甲方人员提供《化学品安全技术说明书》。</w:t>
      </w:r>
    </w:p>
    <w:p>
      <w:pPr>
        <w:spacing w:line="360" w:lineRule="auto"/>
        <w:ind w:firstLine="480" w:firstLineChars="200"/>
        <w:rPr>
          <w:rFonts w:ascii="仿宋" w:hAnsi="仿宋" w:eastAsia="仿宋" w:cs="仿宋"/>
          <w:sz w:val="24"/>
        </w:rPr>
      </w:pPr>
      <w:r>
        <w:rPr>
          <w:rFonts w:hint="eastAsia" w:ascii="仿宋" w:hAnsi="仿宋" w:eastAsia="仿宋" w:cs="仿宋"/>
          <w:sz w:val="24"/>
        </w:rPr>
        <w:t>7.4 合同签订前，中标人须向采购人提供人民币：￥</w:t>
      </w:r>
      <w:r>
        <w:rPr>
          <w:rFonts w:ascii="仿宋" w:hAnsi="仿宋" w:eastAsia="仿宋" w:cs="仿宋"/>
          <w:sz w:val="24"/>
        </w:rPr>
        <w:t>100000</w:t>
      </w:r>
      <w:r>
        <w:rPr>
          <w:rFonts w:hint="eastAsia" w:ascii="仿宋" w:hAnsi="仿宋" w:eastAsia="仿宋" w:cs="仿宋"/>
          <w:sz w:val="24"/>
        </w:rPr>
        <w:t>.00 元，大写：拾万元的履约保证金(以保函等或银行转账方式)，采购人将在合同期满之后不计利息返还给中标人（紧急采购除外）。</w:t>
      </w:r>
    </w:p>
    <w:p>
      <w:pPr>
        <w:spacing w:line="360" w:lineRule="auto"/>
        <w:ind w:firstLine="480" w:firstLineChars="200"/>
        <w:rPr>
          <w:rFonts w:ascii="仿宋" w:hAnsi="仿宋" w:eastAsia="仿宋" w:cs="仿宋"/>
          <w:sz w:val="24"/>
        </w:rPr>
      </w:pPr>
      <w:r>
        <w:rPr>
          <w:rFonts w:hint="eastAsia" w:ascii="仿宋" w:hAnsi="仿宋" w:eastAsia="仿宋" w:cs="仿宋"/>
          <w:sz w:val="24"/>
        </w:rPr>
        <w:t>7.5甲方使用的气瓶及杜瓦罐等气体相关的压力容器设备，乙方免费提供维修及定期检验。</w:t>
      </w:r>
    </w:p>
    <w:p>
      <w:pPr>
        <w:spacing w:line="360" w:lineRule="auto"/>
        <w:ind w:firstLine="480" w:firstLineChars="200"/>
        <w:rPr>
          <w:rFonts w:ascii="仿宋" w:hAnsi="仿宋" w:eastAsia="仿宋" w:cs="仿宋"/>
          <w:sz w:val="24"/>
        </w:rPr>
      </w:pPr>
      <w:r>
        <w:rPr>
          <w:rFonts w:hint="eastAsia" w:ascii="仿宋" w:hAnsi="仿宋" w:eastAsia="仿宋" w:cs="仿宋"/>
          <w:sz w:val="24"/>
        </w:rPr>
        <w:t>7.6乙方可免费提供安装液氧槽罐监控液位仪器供甲方监控槽罐使用状态。</w:t>
      </w:r>
    </w:p>
    <w:p>
      <w:pPr>
        <w:spacing w:line="360" w:lineRule="auto"/>
        <w:ind w:firstLine="480" w:firstLineChars="200"/>
        <w:rPr>
          <w:rFonts w:ascii="仿宋" w:hAnsi="仿宋" w:eastAsia="仿宋" w:cs="仿宋"/>
          <w:sz w:val="24"/>
        </w:rPr>
      </w:pPr>
      <w:r>
        <w:rPr>
          <w:rFonts w:hint="eastAsia" w:ascii="仿宋" w:hAnsi="仿宋" w:eastAsia="仿宋" w:cs="仿宋"/>
          <w:sz w:val="24"/>
        </w:rPr>
        <w:t>8.合同终止</w:t>
      </w:r>
    </w:p>
    <w:p>
      <w:pPr>
        <w:spacing w:line="360" w:lineRule="auto"/>
        <w:rPr>
          <w:rFonts w:ascii="仿宋" w:hAnsi="仿宋" w:eastAsia="仿宋" w:cs="仿宋"/>
          <w:sz w:val="24"/>
        </w:rPr>
      </w:pPr>
      <w:r>
        <w:rPr>
          <w:rFonts w:hint="eastAsia" w:ascii="仿宋" w:hAnsi="仿宋" w:eastAsia="仿宋" w:cs="仿宋"/>
          <w:sz w:val="24"/>
        </w:rPr>
        <w:t>如果一方严重违反合同，并在收到对方违约通知书后在 30 天内仍未能改正 违约的另一方可立即终止本合同。</w:t>
      </w:r>
    </w:p>
    <w:p>
      <w:pPr>
        <w:spacing w:line="360" w:lineRule="auto"/>
        <w:ind w:firstLine="480" w:firstLineChars="200"/>
        <w:rPr>
          <w:rFonts w:ascii="仿宋" w:hAnsi="仿宋" w:eastAsia="仿宋" w:cs="仿宋"/>
          <w:sz w:val="24"/>
        </w:rPr>
      </w:pPr>
      <w:r>
        <w:rPr>
          <w:rFonts w:hint="eastAsia" w:ascii="仿宋" w:hAnsi="仿宋" w:eastAsia="仿宋" w:cs="仿宋"/>
          <w:sz w:val="24"/>
        </w:rPr>
        <w:t>9.法律诉讼</w:t>
      </w:r>
    </w:p>
    <w:p>
      <w:pPr>
        <w:spacing w:line="360" w:lineRule="auto"/>
        <w:ind w:firstLine="480" w:firstLineChars="200"/>
        <w:rPr>
          <w:rFonts w:ascii="仿宋" w:hAnsi="仿宋" w:eastAsia="仿宋"/>
          <w:color w:val="000000"/>
          <w:sz w:val="24"/>
        </w:rPr>
      </w:pPr>
      <w:r>
        <w:rPr>
          <w:rFonts w:ascii="仿宋" w:hAnsi="仿宋" w:eastAsia="仿宋"/>
          <w:color w:val="000000"/>
          <w:sz w:val="24"/>
        </w:rPr>
        <w:t>签约双方在履约中发生争执和分歧， 双方应通过友好协商解决， 若经协商不能达成协议时， 则向甲方所在地人民法院提起诉讼。 受理期间， 双方应继续执行合同其余部分。</w:t>
      </w:r>
    </w:p>
    <w:p>
      <w:pPr>
        <w:spacing w:line="360" w:lineRule="auto"/>
        <w:ind w:firstLine="480" w:firstLineChars="200"/>
        <w:rPr>
          <w:rFonts w:ascii="仿宋" w:hAnsi="仿宋" w:eastAsia="仿宋"/>
          <w:color w:val="000000"/>
          <w:sz w:val="24"/>
        </w:rPr>
      </w:pPr>
      <w:r>
        <w:rPr>
          <w:rFonts w:ascii="仿宋" w:hAnsi="仿宋" w:eastAsia="仿宋"/>
          <w:color w:val="000000"/>
          <w:sz w:val="24"/>
        </w:rPr>
        <w:t>10.</w:t>
      </w:r>
      <w:r>
        <w:rPr>
          <w:rFonts w:hint="eastAsia" w:ascii="仿宋" w:hAnsi="仿宋" w:eastAsia="仿宋"/>
          <w:color w:val="000000"/>
          <w:sz w:val="24"/>
        </w:rPr>
        <w:t>不可抗力</w:t>
      </w:r>
    </w:p>
    <w:p>
      <w:pPr>
        <w:spacing w:line="360" w:lineRule="auto"/>
        <w:ind w:firstLine="480" w:firstLineChars="200"/>
        <w:rPr>
          <w:rFonts w:ascii="仿宋" w:hAnsi="仿宋" w:eastAsia="仿宋"/>
          <w:color w:val="000000"/>
          <w:sz w:val="24"/>
        </w:rPr>
      </w:pPr>
      <w:r>
        <w:rPr>
          <w:rFonts w:ascii="仿宋" w:hAnsi="仿宋" w:eastAsia="仿宋"/>
          <w:color w:val="000000"/>
          <w:sz w:val="24"/>
        </w:rPr>
        <w:t xml:space="preserve">合同生效后， 由于不可抗力事件发生， 直接影响本合同的履行或者合同不能按约定的条件履行时， 遇有不可抗力的一方， 应立即书面通知其他方， 并应在三日内， 提供不可抗力情况的证明， 以及合同不能履行或部分不能履行， 或需延期履行理由的有效证明文件， 此项证明文件应由不可抗力发生地有关政府主管机关做出。不可抗力事件是指： 地震、 台风、 水灾、 火灾、 传染病的流行、 政府政策的重大变动以及其他不能预见并且对其发生和后果不能防止、 不能避免的情形。  </w:t>
      </w:r>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1</w:t>
      </w:r>
      <w:r>
        <w:rPr>
          <w:rFonts w:hint="eastAsia" w:ascii="仿宋" w:hAnsi="仿宋" w:eastAsia="仿宋" w:cs="仿宋"/>
          <w:sz w:val="24"/>
        </w:rPr>
        <w:t>.其他</w:t>
      </w:r>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1</w:t>
      </w:r>
      <w:r>
        <w:rPr>
          <w:rFonts w:hint="eastAsia" w:ascii="仿宋" w:hAnsi="仿宋" w:eastAsia="仿宋" w:cs="仿宋"/>
          <w:sz w:val="24"/>
        </w:rPr>
        <w:t>.1 本合同正本五份，具有同等法律效力，甲方持三份，乙方持二份。合 同自甲方签字盖章之日起即时生效。</w:t>
      </w:r>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1</w:t>
      </w:r>
      <w:r>
        <w:rPr>
          <w:rFonts w:hint="eastAsia" w:ascii="仿宋" w:hAnsi="仿宋" w:eastAsia="仿宋" w:cs="仿宋"/>
          <w:sz w:val="24"/>
        </w:rPr>
        <w:t>.2 本合同末尽事宜，由双方协商处理。</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甲方：南方医科大学中西医结合医院   乙方：</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法人代表：                         法人代表：</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签约代表 ：                        签约代表 ：</w:t>
      </w:r>
    </w:p>
    <w:p>
      <w:pPr>
        <w:spacing w:line="360" w:lineRule="auto"/>
        <w:rPr>
          <w:rFonts w:ascii="仿宋" w:hAnsi="仿宋" w:eastAsia="仿宋" w:cs="仿宋"/>
          <w:sz w:val="24"/>
        </w:rPr>
      </w:pPr>
      <w:r>
        <w:rPr>
          <w:rFonts w:hint="eastAsia" w:ascii="仿宋" w:hAnsi="仿宋" w:eastAsia="仿宋" w:cs="仿宋"/>
          <w:sz w:val="24"/>
        </w:rPr>
        <w:t>地址：                             地址：</w:t>
      </w:r>
    </w:p>
    <w:p>
      <w:pPr>
        <w:spacing w:line="360" w:lineRule="auto"/>
        <w:rPr>
          <w:rFonts w:ascii="仿宋" w:hAnsi="仿宋" w:eastAsia="仿宋" w:cs="仿宋"/>
          <w:sz w:val="24"/>
        </w:rPr>
      </w:pPr>
      <w:r>
        <w:rPr>
          <w:rFonts w:hint="eastAsia" w:ascii="仿宋" w:hAnsi="仿宋" w:eastAsia="仿宋" w:cs="仿宋"/>
          <w:sz w:val="24"/>
        </w:rPr>
        <w:t xml:space="preserve">电话：                             电话： </w:t>
      </w:r>
    </w:p>
    <w:p>
      <w:pPr>
        <w:spacing w:line="360" w:lineRule="auto"/>
        <w:rPr>
          <w:rFonts w:ascii="仿宋" w:hAnsi="仿宋" w:eastAsia="仿宋" w:cs="仿宋"/>
          <w:sz w:val="24"/>
        </w:rPr>
      </w:pPr>
      <w:r>
        <w:rPr>
          <w:rFonts w:hint="eastAsia" w:ascii="仿宋" w:hAnsi="仿宋" w:eastAsia="仿宋" w:cs="仿宋"/>
          <w:sz w:val="24"/>
        </w:rPr>
        <w:t>传真:                              传真:</w:t>
      </w:r>
    </w:p>
    <w:p>
      <w:pPr>
        <w:spacing w:line="360" w:lineRule="auto"/>
        <w:rPr>
          <w:rFonts w:ascii="仿宋" w:hAnsi="仿宋" w:eastAsia="仿宋" w:cs="仿宋"/>
          <w:sz w:val="24"/>
        </w:rPr>
      </w:pPr>
      <w:r>
        <w:rPr>
          <w:rFonts w:hint="eastAsia" w:ascii="仿宋" w:hAnsi="仿宋" w:eastAsia="仿宋" w:cs="仿宋"/>
          <w:sz w:val="24"/>
        </w:rPr>
        <w:t>签约日期：   年  月   日           签约日期：   年  月   日</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jc w:val="center"/>
        <w:rPr>
          <w:rFonts w:ascii="黑体" w:hAnsi="黑体" w:eastAsia="黑体" w:cs="黑体"/>
          <w:b/>
          <w:bCs/>
          <w:sz w:val="36"/>
          <w:szCs w:val="36"/>
        </w:rPr>
      </w:pPr>
      <w:r>
        <w:rPr>
          <w:rFonts w:hint="eastAsia" w:ascii="黑体" w:hAnsi="黑体" w:eastAsia="黑体" w:cs="黑体"/>
          <w:b/>
          <w:bCs/>
          <w:sz w:val="36"/>
          <w:szCs w:val="36"/>
        </w:rPr>
        <w:t>医疗卫生机构医药产品购销廉洁承诺书</w:t>
      </w:r>
    </w:p>
    <w:p>
      <w:pPr>
        <w:rPr>
          <w:rFonts w:ascii="仿宋" w:hAnsi="仿宋" w:eastAsia="仿宋" w:cs="仿宋"/>
          <w:sz w:val="24"/>
        </w:rPr>
      </w:pPr>
      <w:r>
        <w:rPr>
          <w:rFonts w:hint="eastAsia" w:ascii="仿宋" w:hAnsi="仿宋" w:eastAsia="仿宋" w:cs="仿宋"/>
          <w:sz w:val="24"/>
        </w:rPr>
        <w:t>甲方：南方医科大学中西医结合医院</w:t>
      </w:r>
    </w:p>
    <w:p>
      <w:pPr>
        <w:rPr>
          <w:rFonts w:ascii="仿宋" w:hAnsi="仿宋" w:eastAsia="仿宋" w:cs="仿宋"/>
          <w:sz w:val="24"/>
        </w:rPr>
      </w:pPr>
      <w:r>
        <w:rPr>
          <w:rFonts w:hint="eastAsia" w:ascii="仿宋" w:hAnsi="仿宋" w:eastAsia="仿宋" w:cs="仿宋"/>
          <w:sz w:val="24"/>
        </w:rPr>
        <w:t xml:space="preserve">乙方： </w:t>
      </w:r>
    </w:p>
    <w:p>
      <w:pPr>
        <w:ind w:firstLine="480" w:firstLineChars="200"/>
        <w:rPr>
          <w:rFonts w:ascii="仿宋" w:hAnsi="仿宋" w:eastAsia="仿宋" w:cs="仿宋"/>
          <w:sz w:val="24"/>
        </w:rPr>
      </w:pPr>
      <w:r>
        <w:rPr>
          <w:rFonts w:hint="eastAsia" w:ascii="仿宋" w:hAnsi="仿宋" w:eastAsia="仿宋" w:cs="仿宋"/>
          <w:sz w:val="24"/>
        </w:rPr>
        <w:t>为进一步加强医疗卫生行风建设，规范医疗卫生机构医药产品购销行为，有效防范商业贿赂行为，营造公平交易、诚实守信的购销环境，经甲、乙双方协商，同意签订本合同，并共同遵守：</w:t>
      </w:r>
    </w:p>
    <w:p>
      <w:pPr>
        <w:ind w:firstLine="480" w:firstLineChars="200"/>
        <w:rPr>
          <w:rFonts w:ascii="仿宋" w:hAnsi="仿宋" w:eastAsia="仿宋" w:cs="仿宋"/>
          <w:sz w:val="24"/>
        </w:rPr>
      </w:pPr>
      <w:r>
        <w:rPr>
          <w:rFonts w:hint="eastAsia" w:ascii="仿宋" w:hAnsi="仿宋" w:eastAsia="仿宋" w:cs="仿宋"/>
          <w:sz w:val="24"/>
        </w:rPr>
        <w:t>一、甲乙双方按照《民法典》及医药产品购销合同约定购销药品、医用设备、 医用耗材等医药产品。</w:t>
      </w:r>
    </w:p>
    <w:p>
      <w:pPr>
        <w:ind w:firstLine="480" w:firstLineChars="200"/>
        <w:rPr>
          <w:rFonts w:ascii="仿宋" w:hAnsi="仿宋" w:eastAsia="仿宋" w:cs="仿宋"/>
          <w:sz w:val="24"/>
        </w:rPr>
      </w:pPr>
      <w:r>
        <w:rPr>
          <w:rFonts w:hint="eastAsia" w:ascii="仿宋" w:hAnsi="仿宋" w:eastAsia="仿宋" w:cs="仿宋"/>
          <w:sz w:val="24"/>
        </w:rPr>
        <w:t>二、甲方应当严格执行医药产品购销合同验收、入库制度，对采购医药产品及发票进行查验，不得违反有关规定合同外采购、违价采购或从非规定渠道采购。</w:t>
      </w:r>
    </w:p>
    <w:p>
      <w:pPr>
        <w:ind w:firstLine="480" w:firstLineChars="200"/>
        <w:rPr>
          <w:rFonts w:ascii="仿宋" w:hAnsi="仿宋" w:eastAsia="仿宋" w:cs="仿宋"/>
          <w:sz w:val="24"/>
        </w:rPr>
      </w:pPr>
      <w:r>
        <w:rPr>
          <w:rFonts w:hint="eastAsia" w:ascii="仿宋" w:hAnsi="仿宋" w:eastAsia="仿宋" w:cs="仿宋"/>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firstLine="480" w:firstLineChars="200"/>
        <w:rPr>
          <w:rFonts w:ascii="仿宋" w:hAnsi="仿宋" w:eastAsia="仿宋" w:cs="仿宋"/>
          <w:sz w:val="24"/>
        </w:rPr>
      </w:pPr>
      <w:r>
        <w:rPr>
          <w:rFonts w:hint="eastAsia" w:ascii="仿宋" w:hAnsi="仿宋" w:eastAsia="仿宋" w:cs="仿宋"/>
          <w:sz w:val="24"/>
        </w:rPr>
        <w:t>四、严禁甲方工作人员利用任何途径和方式，为乙方统计医师个人及临床科室有关医药产品用量信息，或为乙方统计提供便利。</w:t>
      </w:r>
    </w:p>
    <w:p>
      <w:pPr>
        <w:ind w:firstLine="480" w:firstLineChars="200"/>
        <w:rPr>
          <w:rFonts w:ascii="仿宋" w:hAnsi="仿宋" w:eastAsia="仿宋" w:cs="仿宋"/>
          <w:sz w:val="24"/>
        </w:rPr>
      </w:pPr>
      <w:r>
        <w:rPr>
          <w:rFonts w:hint="eastAsia" w:ascii="仿宋" w:hAnsi="仿宋" w:eastAsia="仿宋" w:cs="仿宋"/>
          <w:sz w:val="24"/>
        </w:rPr>
        <w:t>五、乙方不得以回扣、宴请等方式影响甲方工作人员采购或使用医药产品的选择权，不得在学术活动中提供旅游、超标准支付食宿费用。</w:t>
      </w:r>
    </w:p>
    <w:p>
      <w:pPr>
        <w:ind w:firstLine="480" w:firstLineChars="200"/>
        <w:rPr>
          <w:rFonts w:ascii="仿宋" w:hAnsi="仿宋" w:eastAsia="仿宋" w:cs="仿宋"/>
          <w:sz w:val="24"/>
        </w:rPr>
      </w:pPr>
      <w:r>
        <w:rPr>
          <w:rFonts w:hint="eastAsia" w:ascii="仿宋" w:hAnsi="仿宋" w:eastAsia="仿宋" w:cs="仿宋"/>
          <w:sz w:val="24"/>
        </w:rPr>
        <w:t>六、乙方指定</w:t>
      </w:r>
      <w:r>
        <w:rPr>
          <w:rFonts w:hint="eastAsia" w:ascii="仿宋" w:hAnsi="仿宋" w:eastAsia="仿宋" w:cs="仿宋"/>
          <w:sz w:val="24"/>
          <w:u w:val="single"/>
        </w:rPr>
        <w:t xml:space="preserve">     </w:t>
      </w:r>
      <w:r>
        <w:rPr>
          <w:rFonts w:hint="eastAsia" w:ascii="仿宋" w:hAnsi="仿宋" w:eastAsia="仿宋" w:cs="仿宋"/>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firstLine="480" w:firstLineChars="200"/>
        <w:rPr>
          <w:rFonts w:ascii="仿宋" w:hAnsi="仿宋" w:eastAsia="仿宋" w:cs="仿宋"/>
          <w:sz w:val="24"/>
        </w:rPr>
      </w:pPr>
      <w:r>
        <w:rPr>
          <w:rFonts w:hint="eastAsia" w:ascii="仿宋" w:hAnsi="仿宋" w:eastAsia="仿宋" w:cs="仿宋"/>
          <w:sz w:val="24"/>
        </w:rPr>
        <w:t>七、乙方如违反本合同，一经发现，甲方有权终止购销合同，并向有关卫生 计生行政部门报告。如乙方被列入商业贿赂不良记录，则严格按照《国家卫生计 生委关于建立医药购销领域商业贿赂不良记录的规定》(国卫法制发〔2013〕50 号) 相关规定处理。</w:t>
      </w:r>
    </w:p>
    <w:p>
      <w:pPr>
        <w:ind w:firstLine="480" w:firstLineChars="200"/>
        <w:rPr>
          <w:rFonts w:ascii="仿宋" w:hAnsi="仿宋" w:eastAsia="仿宋" w:cs="仿宋"/>
          <w:sz w:val="24"/>
        </w:rPr>
      </w:pPr>
      <w:r>
        <w:rPr>
          <w:rFonts w:hint="eastAsia" w:ascii="仿宋" w:hAnsi="仿宋" w:eastAsia="仿宋" w:cs="仿宋"/>
          <w:sz w:val="24"/>
        </w:rPr>
        <w:t>八、本合同作为医药产品购销合同的重要组成部分，与购销合同一并执行， 具有同等的法律效力。</w:t>
      </w:r>
    </w:p>
    <w:p>
      <w:pPr>
        <w:ind w:firstLine="480" w:firstLineChars="200"/>
        <w:rPr>
          <w:rFonts w:ascii="仿宋" w:hAnsi="仿宋" w:eastAsia="仿宋" w:cs="仿宋"/>
          <w:sz w:val="24"/>
        </w:rPr>
      </w:pPr>
      <w:r>
        <w:rPr>
          <w:rFonts w:hint="eastAsia" w:ascii="仿宋" w:hAnsi="仿宋" w:eastAsia="仿宋" w:cs="仿宋"/>
          <w:sz w:val="24"/>
        </w:rPr>
        <w:t xml:space="preserve">九、本合同一式五份，甲方执三份，乙方执一份，甲方纪检监察部门(基层 医疗卫生机构上报上级卫生计生行政部门) 执一份，并从签订之日起生效。   </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甲方(盖章)：                       乙方(盖章)：</w:t>
      </w:r>
    </w:p>
    <w:p>
      <w:pPr>
        <w:rPr>
          <w:rFonts w:ascii="仿宋" w:hAnsi="仿宋" w:eastAsia="仿宋" w:cs="仿宋"/>
          <w:sz w:val="24"/>
        </w:rPr>
      </w:pPr>
      <w:r>
        <w:rPr>
          <w:rFonts w:hint="eastAsia" w:ascii="仿宋" w:hAnsi="仿宋" w:eastAsia="仿宋" w:cs="仿宋"/>
          <w:sz w:val="24"/>
        </w:rPr>
        <w:t>法定代表人(负责人)：               法定代表人(负责人)：</w:t>
      </w:r>
    </w:p>
    <w:p>
      <w:pPr>
        <w:rPr>
          <w:rFonts w:ascii="仿宋" w:hAnsi="仿宋" w:eastAsia="仿宋" w:cs="仿宋"/>
          <w:sz w:val="24"/>
        </w:rPr>
      </w:pPr>
      <w:r>
        <w:rPr>
          <w:rFonts w:hint="eastAsia" w:ascii="仿宋" w:hAnsi="仿宋" w:eastAsia="仿宋" w:cs="仿宋"/>
          <w:sz w:val="24"/>
        </w:rPr>
        <w:t>经办人签名：                       经办人签名：</w:t>
      </w:r>
    </w:p>
    <w:p>
      <w:pPr>
        <w:rPr>
          <w:rFonts w:ascii="仿宋" w:hAnsi="仿宋" w:eastAsia="仿宋" w:cs="仿宋"/>
          <w:sz w:val="24"/>
        </w:rPr>
      </w:pPr>
      <w:r>
        <w:rPr>
          <w:rFonts w:hint="eastAsia" w:ascii="仿宋" w:hAnsi="仿宋" w:eastAsia="仿宋" w:cs="仿宋"/>
          <w:sz w:val="24"/>
        </w:rPr>
        <w:t>联系地址：                         联系地址：</w:t>
      </w:r>
    </w:p>
    <w:p>
      <w:pPr>
        <w:rPr>
          <w:rFonts w:ascii="仿宋" w:hAnsi="仿宋" w:eastAsia="仿宋" w:cs="仿宋"/>
          <w:sz w:val="24"/>
        </w:rPr>
      </w:pPr>
      <w:r>
        <w:rPr>
          <w:rFonts w:hint="eastAsia" w:ascii="仿宋" w:hAnsi="仿宋" w:eastAsia="仿宋" w:cs="仿宋"/>
          <w:sz w:val="24"/>
        </w:rPr>
        <w:t>联系电话：                         联系电话：</w:t>
      </w:r>
    </w:p>
    <w:p>
      <w:pPr>
        <w:rPr>
          <w:rFonts w:ascii="仿宋" w:hAnsi="仿宋" w:eastAsia="仿宋" w:cs="仿宋"/>
          <w:sz w:val="24"/>
        </w:rPr>
      </w:pPr>
      <w:r>
        <w:rPr>
          <w:rFonts w:hint="eastAsia" w:ascii="仿宋" w:hAnsi="仿宋" w:eastAsia="仿宋" w:cs="仿宋"/>
          <w:sz w:val="24"/>
        </w:rPr>
        <w:t>年   月   日                       年   月   日</w:t>
      </w:r>
    </w:p>
    <w:p>
      <w:pPr>
        <w:spacing w:line="360" w:lineRule="auto"/>
        <w:ind w:firstLine="2280" w:firstLineChars="950"/>
        <w:rPr>
          <w:rFonts w:hint="eastAsia" w:ascii="仿宋" w:hAnsi="仿宋" w:eastAsia="仿宋"/>
          <w:sz w:val="24"/>
        </w:rPr>
      </w:pPr>
    </w:p>
    <w:p>
      <w:pPr>
        <w:spacing w:line="360" w:lineRule="auto"/>
        <w:ind w:firstLine="2280" w:firstLineChars="950"/>
        <w:rPr>
          <w:rFonts w:hint="eastAsia" w:ascii="仿宋" w:hAnsi="仿宋" w:eastAsia="仿宋"/>
          <w:sz w:val="24"/>
        </w:rPr>
      </w:pPr>
    </w:p>
    <w:p>
      <w:pPr>
        <w:spacing w:line="360" w:lineRule="auto"/>
        <w:rPr>
          <w:rFonts w:hint="eastAsia" w:ascii="仿宋" w:hAnsi="仿宋" w:eastAsia="仿宋"/>
          <w:sz w:val="24"/>
        </w:rPr>
      </w:pPr>
    </w:p>
    <w:p>
      <w:pPr>
        <w:spacing w:line="360" w:lineRule="auto"/>
        <w:rPr>
          <w:rFonts w:hint="eastAsia" w:ascii="仿宋" w:hAnsi="仿宋" w:eastAsia="仿宋"/>
          <w:sz w:val="24"/>
        </w:rPr>
      </w:pPr>
    </w:p>
    <w:p>
      <w:pPr>
        <w:numPr>
          <w:ilvl w:val="0"/>
          <w:numId w:val="0"/>
        </w:numPr>
        <w:rPr>
          <w:rFonts w:hint="eastAsia"/>
          <w:b w:val="0"/>
          <w:bCs w:val="0"/>
          <w:sz w:val="24"/>
          <w:lang w:val="en-US" w:eastAsia="zh-CN"/>
        </w:rPr>
      </w:pPr>
      <w:r>
        <w:rPr>
          <w:rFonts w:hint="eastAsia"/>
          <w:b w:val="0"/>
          <w:bCs w:val="0"/>
          <w:sz w:val="24"/>
          <w:lang w:val="en-US" w:eastAsia="zh-CN"/>
        </w:rPr>
        <w:t>五、供应商资格声明函模板</w:t>
      </w:r>
    </w:p>
    <w:p>
      <w:pPr>
        <w:widowControl w:val="0"/>
        <w:wordWrap w:val="0"/>
        <w:spacing w:line="360" w:lineRule="auto"/>
        <w:jc w:val="center"/>
        <w:rPr>
          <w:rFonts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供应商资格声明函</w:t>
      </w: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lang w:val="en-US" w:eastAsia="zh-CN"/>
        </w:rPr>
        <w:t>南方医科大学中西医结合医院</w:t>
      </w:r>
      <w:r>
        <w:rPr>
          <w:rFonts w:hint="eastAsia" w:ascii="宋体" w:hAnsi="宋体" w:eastAsia="宋体" w:cs="Times New Roman"/>
          <w:b/>
          <w:color w:val="000000"/>
          <w:sz w:val="24"/>
          <w:szCs w:val="22"/>
          <w:highlight w:val="none"/>
        </w:rPr>
        <w:t>：</w:t>
      </w:r>
    </w:p>
    <w:p>
      <w:pPr>
        <w:wordWrap w:val="0"/>
        <w:snapToGrid w:val="0"/>
        <w:spacing w:line="360" w:lineRule="auto"/>
        <w:ind w:firstLine="480" w:firstLineChars="200"/>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关于贵方发布</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2"/>
          <w:highlight w:val="none"/>
        </w:rPr>
        <w:t>[采购文件编号：</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u w:val="single"/>
        </w:rPr>
        <w:t>]</w:t>
      </w:r>
      <w:r>
        <w:rPr>
          <w:rFonts w:hint="eastAsia" w:ascii="宋体" w:hAnsi="宋体" w:eastAsia="宋体" w:cs="Times New Roman"/>
          <w:color w:val="000000"/>
          <w:sz w:val="24"/>
          <w:szCs w:val="22"/>
          <w:highlight w:val="none"/>
        </w:rPr>
        <w:t>的</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公告，本单位愿意参加上述项目</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color w:val="000000"/>
          <w:sz w:val="24"/>
          <w:szCs w:val="24"/>
          <w:highlight w:val="none"/>
          <w:lang w:eastAsia="zh-CN"/>
        </w:rPr>
        <w:t>采购包</w:t>
      </w:r>
      <w:r>
        <w:rPr>
          <w:rFonts w:hint="eastAsia" w:ascii="Times New Roman" w:hAnsi="宋体" w:eastAsia="宋体" w:cs="Times New Roman"/>
          <w:color w:val="000000"/>
          <w:sz w:val="24"/>
          <w:szCs w:val="24"/>
          <w:highlight w:val="none"/>
        </w:rPr>
        <w:t>号</w:t>
      </w:r>
      <w:r>
        <w:rPr>
          <w:rFonts w:hint="eastAsia" w:ascii="Times New Roman" w:hAnsi="宋体" w:eastAsia="宋体" w:cs="Times New Roman"/>
          <w:i/>
          <w:color w:val="000000"/>
          <w:sz w:val="24"/>
          <w:szCs w:val="24"/>
          <w:highlight w:val="none"/>
          <w:u w:val="single"/>
        </w:rPr>
        <w:t>（如有，填写</w:t>
      </w:r>
      <w:r>
        <w:rPr>
          <w:rFonts w:hint="eastAsia" w:ascii="Times New Roman" w:hAnsi="宋体" w:eastAsia="宋体" w:cs="Times New Roman"/>
          <w:i/>
          <w:color w:val="000000"/>
          <w:sz w:val="24"/>
          <w:szCs w:val="24"/>
          <w:highlight w:val="none"/>
          <w:u w:val="single"/>
          <w:lang w:eastAsia="zh-CN"/>
        </w:rPr>
        <w:t>响应采购包</w:t>
      </w:r>
      <w:r>
        <w:rPr>
          <w:rFonts w:hint="eastAsia" w:ascii="Times New Roman" w:hAnsi="宋体" w:eastAsia="宋体" w:cs="Times New Roman"/>
          <w:i/>
          <w:color w:val="000000"/>
          <w:sz w:val="24"/>
          <w:szCs w:val="24"/>
          <w:highlight w:val="none"/>
          <w:u w:val="single"/>
        </w:rPr>
        <w:t>号）</w:t>
      </w:r>
      <w:r>
        <w:rPr>
          <w:rFonts w:hint="eastAsia" w:ascii="Times New Roman" w:hAnsi="宋体" w:eastAsia="宋体" w:cs="Times New Roman"/>
          <w:i/>
          <w:color w:val="000000"/>
          <w:sz w:val="24"/>
          <w:szCs w:val="24"/>
          <w:highlight w:val="none"/>
          <w:u w:val="single"/>
          <w:lang w:val="en-US" w:eastAsia="zh-CN"/>
        </w:rPr>
        <w:t>响应</w:t>
      </w:r>
      <w:r>
        <w:rPr>
          <w:rFonts w:hint="eastAsia" w:ascii="宋体" w:hAnsi="宋体" w:eastAsia="宋体" w:cs="Times New Roman"/>
          <w:color w:val="000000"/>
          <w:sz w:val="24"/>
          <w:szCs w:val="22"/>
          <w:highlight w:val="none"/>
        </w:rPr>
        <w:t>，并已清楚</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文件的要求及有关文件规定，声明如下：</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（一）我方具备《中华人民共和国政府采购法》第二十二条所规定的条件（</w:t>
      </w:r>
      <w:r>
        <w:rPr>
          <w:rFonts w:hint="eastAsia" w:ascii="宋体" w:hAnsi="宋体" w:eastAsia="宋体" w:cs="宋体"/>
          <w:color w:val="000000"/>
          <w:kern w:val="0"/>
          <w:sz w:val="24"/>
          <w:szCs w:val="24"/>
          <w:highlight w:val="none"/>
          <w:lang w:val="en-US" w:eastAsia="zh-CN" w:bidi="ar-SA"/>
        </w:rPr>
        <w:t>说明：若接受联合体响应且为联合体响应的，各方均需满足）</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cs="Times New Roman"/>
          <w:color w:val="000000"/>
          <w:kern w:val="2"/>
          <w:sz w:val="24"/>
          <w:szCs w:val="24"/>
          <w:highlight w:val="none"/>
          <w:lang w:val="en-US" w:eastAsia="zh-CN" w:bidi="ar-SA"/>
        </w:rPr>
        <w:t>具有独立承担民事责任的能力；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（2）具有良好的商业信誉和健全的财务会计制度；</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（3）</w:t>
      </w:r>
      <w:r>
        <w:rPr>
          <w:rFonts w:hint="eastAsia" w:ascii="宋体" w:hAnsi="宋体" w:eastAsia="宋体" w:cs="Times New Roman"/>
          <w:color w:val="000000"/>
          <w:kern w:val="2"/>
          <w:sz w:val="24"/>
          <w:szCs w:val="24"/>
          <w:highlight w:val="none"/>
          <w:lang w:val="en-US" w:eastAsia="zh-CN" w:bidi="ar-SA"/>
        </w:rPr>
        <w:t>有依法缴纳税收和社会保障资金的良好记录；</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w:t>
      </w:r>
      <w:r>
        <w:rPr>
          <w:rFonts w:hint="eastAsia" w:ascii="宋体" w:hAnsi="宋体" w:eastAsia="宋体" w:cs="Times New Roman"/>
          <w:color w:val="000000"/>
          <w:kern w:val="2"/>
          <w:sz w:val="24"/>
          <w:szCs w:val="21"/>
          <w:highlight w:val="none"/>
          <w:lang w:val="en-US" w:eastAsia="zh-CN" w:bidi="ar-SA"/>
        </w:rPr>
        <w:t>具有履行合同所必需的设备和专业技术能力；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5）我方（如前三年内有名称变更的，含变更前名称）参加本项目政府采购活动前三年内在经营活动中没有重大违法记录（重大违法记录是指没有因违法经营受到刑事处罚或责令停产停业、吊销许可证或者执照、较大数额罚款等行政处罚）；</w:t>
      </w:r>
    </w:p>
    <w:p>
      <w:pPr>
        <w:widowControl w:val="0"/>
        <w:tabs>
          <w:tab w:val="left" w:pos="993"/>
        </w:tabs>
        <w:wordWrap w:val="0"/>
        <w:snapToGrid w:val="0"/>
        <w:spacing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（二）我方</w:t>
      </w:r>
      <w:r>
        <w:rPr>
          <w:rFonts w:hint="eastAsia" w:ascii="宋体" w:hAnsi="宋体" w:eastAsia="宋体" w:cs="宋体"/>
          <w:color w:val="000000"/>
          <w:kern w:val="0"/>
          <w:sz w:val="24"/>
          <w:szCs w:val="24"/>
          <w:highlight w:val="none"/>
          <w:lang w:val="en-US" w:eastAsia="zh-CN" w:bidi="ar-SA"/>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（三）我方</w:t>
      </w:r>
      <w:r>
        <w:rPr>
          <w:rFonts w:hint="eastAsia" w:ascii="宋体" w:hAnsi="宋体" w:eastAsia="宋体" w:cs="Times New Roman"/>
          <w:color w:val="000000"/>
          <w:kern w:val="2"/>
          <w:sz w:val="24"/>
          <w:szCs w:val="21"/>
          <w:highlight w:val="none"/>
          <w:lang w:val="en-US" w:eastAsia="zh-CN" w:bidi="ar-SA"/>
        </w:rPr>
        <w:t>符合法律、行政法规规定的其他条件</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1）单位负责人为同一人或者存在直接控股、管理关系</w:t>
      </w:r>
      <w:r>
        <w:rPr>
          <w:rFonts w:hint="eastAsia" w:ascii="宋体" w:hAnsi="宋体" w:eastAsia="宋体" w:cs="宋体"/>
          <w:color w:val="000000"/>
          <w:kern w:val="2"/>
          <w:sz w:val="24"/>
          <w:szCs w:val="24"/>
          <w:highlight w:val="none"/>
          <w:lang w:val="en-US" w:eastAsia="zh-CN" w:bidi="ar-SA"/>
        </w:rPr>
        <w:t>的不同供应商，不得同时参加本采购项目（采购包）投标（响应）。</w:t>
      </w:r>
      <w:r>
        <w:rPr>
          <w:rFonts w:hint="eastAsia" w:ascii="宋体" w:hAnsi="宋体" w:eastAsia="宋体" w:cs="宋体"/>
          <w:color w:val="000000"/>
          <w:kern w:val="0"/>
          <w:sz w:val="24"/>
          <w:szCs w:val="24"/>
          <w:highlight w:val="none"/>
          <w:lang w:val="en-US" w:eastAsia="zh-CN" w:bidi="ar-SA"/>
        </w:rPr>
        <w:t>（说明：联合体响应的除外，但不包括以联合体形式部分预留专门面向中小企业的项目（采购包））</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2）供应商为采购项目提供整体设计、规范编制或者项目管理、监理、检测等服务，</w:t>
      </w:r>
      <w:r>
        <w:rPr>
          <w:rFonts w:hint="eastAsia" w:ascii="宋体" w:hAnsi="宋体" w:eastAsia="宋体" w:cs="宋体"/>
          <w:color w:val="000000"/>
          <w:kern w:val="2"/>
          <w:sz w:val="24"/>
          <w:szCs w:val="24"/>
          <w:highlight w:val="none"/>
          <w:lang w:val="en-US" w:eastAsia="zh-CN" w:bidi="ar-SA"/>
        </w:rPr>
        <w:t>不得再参加本项目（采购包）投标（响应）</w:t>
      </w:r>
      <w:r>
        <w:rPr>
          <w:rFonts w:hint="eastAsia" w:ascii="宋体" w:hAnsi="宋体" w:eastAsia="宋体" w:cs="Times New Roman"/>
          <w:color w:val="000000"/>
          <w:kern w:val="2"/>
          <w:sz w:val="24"/>
          <w:szCs w:val="21"/>
          <w:highlight w:val="none"/>
          <w:lang w:val="en-US" w:eastAsia="zh-CN" w:bidi="ar-SA"/>
        </w:rPr>
        <w:t>。（说明：若接受联合体响应且为联合体响应的，各方均需满足）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（四）我方已按采购公告的规定获取了采购文件。</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（五）</w:t>
      </w:r>
      <w:r>
        <w:rPr>
          <w:rFonts w:hint="eastAsia" w:ascii="宋体" w:hAnsi="宋体" w:eastAsia="宋体" w:cs="Times New Roman"/>
          <w:color w:val="000000"/>
          <w:kern w:val="2"/>
          <w:sz w:val="24"/>
          <w:szCs w:val="22"/>
          <w:highlight w:val="none"/>
          <w:lang w:val="en-US" w:eastAsia="zh-CN" w:bidi="ar-SA"/>
        </w:rPr>
        <w:tab/>
      </w:r>
      <w:r>
        <w:rPr>
          <w:rFonts w:hint="eastAsia" w:ascii="宋体" w:hAnsi="宋体" w:eastAsia="宋体" w:cs="Times New Roman"/>
          <w:color w:val="000000"/>
          <w:kern w:val="2"/>
          <w:sz w:val="24"/>
          <w:szCs w:val="22"/>
          <w:highlight w:val="none"/>
          <w:lang w:val="en-US" w:eastAsia="zh-CN" w:bidi="ar-SA"/>
        </w:rPr>
        <w:t>若本项目不接受联合体报价的，我方承诺以独立供应商名义即非联合体方式参加本项目的响应。</w:t>
      </w:r>
    </w:p>
    <w:p>
      <w:pPr>
        <w:wordWrap w:val="0"/>
        <w:snapToGrid w:val="0"/>
        <w:spacing w:line="360" w:lineRule="auto"/>
        <w:ind w:firstLine="484" w:firstLineChars="20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eastAsia="zh-CN"/>
        </w:rPr>
        <w:t>六</w:t>
      </w:r>
      <w:r>
        <w:rPr>
          <w:rFonts w:hint="eastAsia" w:ascii="宋体" w:hAnsi="宋体" w:eastAsia="宋体" w:cs="Times New Roman"/>
          <w:color w:val="000000"/>
          <w:sz w:val="24"/>
          <w:szCs w:val="24"/>
          <w:highlight w:val="none"/>
        </w:rPr>
        <w:t>）我方郑重承诺公平竞争：我方保证所提交的相关资质文件和证明材料的真实性，有良好的历史诚信记录，并将依法参与本项目（</w:t>
      </w:r>
      <w:r>
        <w:rPr>
          <w:rFonts w:hint="eastAsia" w:ascii="宋体" w:hAnsi="宋体" w:eastAsia="宋体" w:cs="Times New Roman"/>
          <w:color w:val="000000"/>
          <w:sz w:val="24"/>
          <w:szCs w:val="24"/>
          <w:highlight w:val="none"/>
          <w:lang w:eastAsia="zh-CN"/>
        </w:rPr>
        <w:t>采购包</w:t>
      </w:r>
      <w:r>
        <w:rPr>
          <w:rFonts w:hint="eastAsia" w:ascii="宋体" w:hAnsi="宋体" w:eastAsia="宋体" w:cs="Times New Roman"/>
          <w:color w:val="000000"/>
          <w:sz w:val="24"/>
          <w:szCs w:val="24"/>
          <w:highlight w:val="none"/>
        </w:rPr>
        <w:t>）的公平竞争，不以任何不正当行为谋取不当利益，否则承担相应的法律责任。</w:t>
      </w:r>
    </w:p>
    <w:p>
      <w:pPr>
        <w:wordWrap w:val="0"/>
        <w:snapToGrid w:val="0"/>
        <w:spacing w:line="360" w:lineRule="auto"/>
        <w:ind w:firstLine="484" w:firstLineChars="202"/>
        <w:rPr>
          <w:rFonts w:ascii="宋体" w:hAnsi="宋体" w:eastAsia="宋体" w:cs="Times New Roman"/>
          <w:color w:val="000000"/>
          <w:sz w:val="24"/>
          <w:szCs w:val="22"/>
          <w:highlight w:val="none"/>
        </w:rPr>
      </w:pPr>
      <w:r>
        <w:rPr>
          <w:rFonts w:hint="eastAsia" w:ascii="宋体" w:hAnsi="宋体" w:eastAsia="宋体" w:cs="Times New Roman"/>
          <w:color w:val="000000"/>
          <w:sz w:val="24"/>
          <w:szCs w:val="24"/>
          <w:highlight w:val="none"/>
        </w:rPr>
        <w:t>我方对上述承诺的真实性负责，</w:t>
      </w:r>
      <w:r>
        <w:rPr>
          <w:rFonts w:hint="eastAsia" w:ascii="宋体" w:hAnsi="宋体" w:eastAsia="宋体" w:cs="Times New Roman"/>
          <w:color w:val="000000"/>
          <w:sz w:val="24"/>
          <w:szCs w:val="24"/>
          <w:highlight w:val="none"/>
          <w:lang w:eastAsia="zh-CN"/>
        </w:rPr>
        <w:t>自愿按照</w:t>
      </w:r>
      <w:r>
        <w:rPr>
          <w:rFonts w:hint="eastAsia" w:ascii="宋体" w:hAnsi="宋体" w:eastAsia="宋体" w:cs="Times New Roman"/>
          <w:color w:val="000000"/>
          <w:sz w:val="24"/>
          <w:szCs w:val="24"/>
          <w:highlight w:val="none"/>
          <w:lang w:val="en-US" w:eastAsia="zh-CN"/>
        </w:rPr>
        <w:t>采购</w:t>
      </w:r>
      <w:r>
        <w:rPr>
          <w:rFonts w:hint="eastAsia" w:ascii="宋体" w:hAnsi="宋体" w:eastAsia="宋体" w:cs="Times New Roman"/>
          <w:color w:val="000000"/>
          <w:sz w:val="24"/>
          <w:szCs w:val="24"/>
          <w:highlight w:val="none"/>
          <w:lang w:eastAsia="zh-CN"/>
        </w:rPr>
        <w:t>文件的要求（若有要求）配合提供相关证明材料</w:t>
      </w:r>
      <w:r>
        <w:rPr>
          <w:rFonts w:hint="eastAsia" w:ascii="宋体" w:hAnsi="宋体" w:eastAsia="宋体" w:cs="Times New Roman"/>
          <w:color w:val="000000"/>
          <w:sz w:val="24"/>
          <w:szCs w:val="24"/>
          <w:highlight w:val="none"/>
        </w:rPr>
        <w:t>。以上内容如有虚假或与事实不符的，评标委员会可将我方做无效</w:t>
      </w:r>
      <w:r>
        <w:rPr>
          <w:rFonts w:hint="eastAsia" w:ascii="宋体" w:hAnsi="宋体" w:eastAsia="宋体" w:cs="Times New Roman"/>
          <w:color w:val="000000"/>
          <w:sz w:val="24"/>
          <w:szCs w:val="24"/>
          <w:highlight w:val="none"/>
          <w:lang w:eastAsia="zh-CN"/>
        </w:rPr>
        <w:t>响应</w:t>
      </w:r>
      <w:r>
        <w:rPr>
          <w:rFonts w:hint="eastAsia" w:ascii="宋体" w:hAnsi="宋体" w:eastAsia="宋体" w:cs="Times New Roman"/>
          <w:color w:val="000000"/>
          <w:sz w:val="24"/>
          <w:szCs w:val="24"/>
          <w:highlight w:val="none"/>
        </w:rPr>
        <w:t>处理</w:t>
      </w:r>
      <w:r>
        <w:rPr>
          <w:rFonts w:hint="eastAsia" w:ascii="宋体" w:hAnsi="宋体" w:eastAsia="宋体" w:cs="Times New Roman"/>
          <w:color w:val="000000"/>
          <w:sz w:val="24"/>
          <w:szCs w:val="24"/>
          <w:highlight w:val="none"/>
          <w:lang w:eastAsia="zh-CN"/>
        </w:rPr>
        <w:t>，我方</w:t>
      </w:r>
      <w:r>
        <w:rPr>
          <w:rFonts w:hint="eastAsia" w:ascii="宋体" w:hAnsi="宋体" w:eastAsia="宋体" w:cs="Times New Roman"/>
          <w:color w:val="000000"/>
          <w:sz w:val="24"/>
          <w:szCs w:val="24"/>
          <w:highlight w:val="none"/>
        </w:rPr>
        <w:t>自愿承担提供虚假材料谋取中标</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成交</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的法律责任。我方</w:t>
      </w:r>
      <w:r>
        <w:rPr>
          <w:rFonts w:hint="eastAsia" w:ascii="宋体" w:hAnsi="宋体" w:eastAsia="宋体" w:cs="Times New Roman"/>
          <w:color w:val="000000"/>
          <w:sz w:val="24"/>
          <w:szCs w:val="22"/>
          <w:highlight w:val="none"/>
        </w:rPr>
        <w:t>承诺在本次采购活动中，如有违法、违规、弄虚作假行为，所造成的损失、不良后果及法律责任，一律由我方承担。</w:t>
      </w:r>
    </w:p>
    <w:p>
      <w:pPr>
        <w:wordWrap w:val="0"/>
        <w:snapToGrid w:val="0"/>
        <w:spacing w:line="360" w:lineRule="auto"/>
        <w:ind w:firstLine="420"/>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特此声明！</w:t>
      </w:r>
    </w:p>
    <w:p>
      <w:pPr>
        <w:wordWrap w:val="0"/>
        <w:snapToGrid w:val="0"/>
        <w:spacing w:line="360" w:lineRule="auto"/>
        <w:rPr>
          <w:rFonts w:ascii="宋体" w:hAnsi="宋体" w:eastAsia="宋体" w:cs="Times New Roman"/>
          <w:b/>
          <w:color w:val="000000"/>
          <w:sz w:val="24"/>
          <w:szCs w:val="22"/>
          <w:highlight w:val="none"/>
        </w:rPr>
      </w:pP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供应商名称（加盖公章）：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供应商法定代表人或授权代表（签字或盖章）：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b/>
          <w:color w:val="000000"/>
          <w:sz w:val="24"/>
          <w:szCs w:val="22"/>
          <w:highlight w:val="none"/>
        </w:rPr>
      </w:pPr>
      <w:r>
        <w:rPr>
          <w:rFonts w:hint="eastAsia" w:ascii="宋体" w:hAnsi="宋体" w:eastAsia="宋体" w:cs="Times New Roman"/>
          <w:color w:val="000000"/>
          <w:sz w:val="24"/>
          <w:szCs w:val="22"/>
          <w:highlight w:val="none"/>
        </w:rPr>
        <w:t>日期：</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年</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月</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日</w:t>
      </w:r>
    </w:p>
    <w:p>
      <w:pPr>
        <w:wordWrap w:val="0"/>
        <w:snapToGrid w:val="0"/>
        <w:spacing w:line="360" w:lineRule="auto"/>
        <w:rPr>
          <w:rFonts w:hint="eastAsia" w:ascii="宋体" w:hAnsi="宋体" w:eastAsia="宋体" w:cs="Times New Roman"/>
          <w:b/>
          <w:color w:val="000000"/>
          <w:sz w:val="24"/>
          <w:szCs w:val="22"/>
          <w:highlight w:val="none"/>
        </w:rPr>
      </w:pP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备注：</w:t>
      </w:r>
    </w:p>
    <w:p>
      <w:pPr>
        <w:numPr>
          <w:ilvl w:val="0"/>
          <w:numId w:val="3"/>
        </w:numPr>
        <w:wordWrap w:val="0"/>
        <w:autoSpaceDE w:val="0"/>
        <w:autoSpaceDN w:val="0"/>
        <w:adjustRightInd w:val="0"/>
        <w:snapToGrid w:val="0"/>
        <w:spacing w:line="360" w:lineRule="auto"/>
        <w:ind w:left="0"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本声明函必须提供且内容不得擅自删改，否则视为</w:t>
      </w:r>
      <w:r>
        <w:rPr>
          <w:rFonts w:hint="eastAsia" w:ascii="宋体" w:hAnsi="宋体" w:eastAsia="宋体" w:cs="Times New Roman"/>
          <w:b/>
          <w:bCs/>
          <w:color w:val="000000"/>
          <w:sz w:val="24"/>
          <w:szCs w:val="24"/>
          <w:highlight w:val="none"/>
        </w:rPr>
        <w:t>无效</w:t>
      </w:r>
      <w:r>
        <w:rPr>
          <w:rFonts w:hint="eastAsia" w:ascii="宋体" w:hAnsi="宋体" w:eastAsia="宋体" w:cs="Times New Roman"/>
          <w:b/>
          <w:bCs/>
          <w:color w:val="000000"/>
          <w:sz w:val="24"/>
          <w:szCs w:val="24"/>
          <w:highlight w:val="none"/>
          <w:lang w:val="en-US" w:eastAsia="zh-CN"/>
        </w:rPr>
        <w:t>响应</w:t>
      </w:r>
      <w:r>
        <w:rPr>
          <w:rFonts w:hint="eastAsia" w:ascii="宋体" w:hAnsi="宋体" w:eastAsia="宋体" w:cs="Times New Roman"/>
          <w:color w:val="000000"/>
          <w:sz w:val="24"/>
          <w:szCs w:val="24"/>
          <w:highlight w:val="none"/>
        </w:rPr>
        <w:t>。</w:t>
      </w:r>
    </w:p>
    <w:p>
      <w:pPr>
        <w:numPr>
          <w:ilvl w:val="0"/>
          <w:numId w:val="3"/>
        </w:numPr>
        <w:wordWrap w:val="0"/>
        <w:autoSpaceDE w:val="0"/>
        <w:autoSpaceDN w:val="0"/>
        <w:adjustRightInd w:val="0"/>
        <w:snapToGrid w:val="0"/>
        <w:spacing w:line="360" w:lineRule="auto"/>
        <w:ind w:left="0"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本声明函如有虚假或与事实不符的，作</w:t>
      </w:r>
      <w:r>
        <w:rPr>
          <w:rFonts w:hint="eastAsia" w:ascii="宋体" w:hAnsi="宋体" w:eastAsia="宋体" w:cs="Times New Roman"/>
          <w:b/>
          <w:color w:val="000000"/>
          <w:sz w:val="24"/>
          <w:szCs w:val="24"/>
          <w:highlight w:val="none"/>
        </w:rPr>
        <w:t>无效</w:t>
      </w:r>
      <w:r>
        <w:rPr>
          <w:rFonts w:hint="eastAsia" w:ascii="宋体" w:hAnsi="宋体" w:eastAsia="宋体" w:cs="Times New Roman"/>
          <w:b/>
          <w:color w:val="000000"/>
          <w:sz w:val="24"/>
          <w:szCs w:val="24"/>
          <w:highlight w:val="none"/>
          <w:lang w:val="en-US" w:eastAsia="zh-CN"/>
        </w:rPr>
        <w:t>响应</w:t>
      </w:r>
      <w:r>
        <w:rPr>
          <w:rFonts w:hint="eastAsia" w:ascii="宋体" w:hAnsi="宋体" w:eastAsia="宋体" w:cs="Times New Roman"/>
          <w:color w:val="000000"/>
          <w:sz w:val="24"/>
          <w:szCs w:val="24"/>
          <w:highlight w:val="none"/>
        </w:rPr>
        <w:t>处理。</w:t>
      </w:r>
    </w:p>
    <w:p>
      <w:pPr>
        <w:numPr>
          <w:ilvl w:val="0"/>
          <w:numId w:val="0"/>
        </w:numPr>
        <w:spacing w:line="360" w:lineRule="auto"/>
        <w:ind w:left="420" w:leftChars="0"/>
        <w:rPr>
          <w:rFonts w:hint="default" w:ascii="仿宋" w:hAnsi="仿宋" w:eastAsia="仿宋"/>
          <w:sz w:val="24"/>
          <w:lang w:val="en-US" w:eastAsia="zh-CN"/>
        </w:rPr>
      </w:pPr>
    </w:p>
    <w:p>
      <w:pPr>
        <w:numPr>
          <w:ilvl w:val="0"/>
          <w:numId w:val="0"/>
        </w:numPr>
        <w:rPr>
          <w:rFonts w:hint="default"/>
          <w:b w:val="0"/>
          <w:bCs w:val="0"/>
          <w:sz w:val="24"/>
          <w:lang w:val="en-US" w:eastAsia="zh-CN"/>
        </w:rPr>
      </w:pPr>
    </w:p>
    <w:p>
      <w:pPr>
        <w:numPr>
          <w:ilvl w:val="0"/>
          <w:numId w:val="0"/>
        </w:numPr>
        <w:rPr>
          <w:rFonts w:hint="default"/>
          <w:b w:val="0"/>
          <w:bCs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5E6E3"/>
    <w:multiLevelType w:val="singleLevel"/>
    <w:tmpl w:val="AFE5E6E3"/>
    <w:lvl w:ilvl="0" w:tentative="0">
      <w:start w:val="1"/>
      <w:numFmt w:val="chineseCounting"/>
      <w:suff w:val="nothing"/>
      <w:lvlText w:val="（%1）"/>
      <w:lvlJc w:val="left"/>
      <w:pPr>
        <w:ind w:left="0" w:firstLine="420"/>
      </w:pPr>
      <w:rPr>
        <w:rFonts w:hint="eastAsia"/>
      </w:rPr>
    </w:lvl>
  </w:abstractNum>
  <w:abstractNum w:abstractNumId="1">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A96529"/>
    <w:rsid w:val="01FA6A1F"/>
    <w:rsid w:val="028E3199"/>
    <w:rsid w:val="02FA082F"/>
    <w:rsid w:val="03393105"/>
    <w:rsid w:val="038036DD"/>
    <w:rsid w:val="04783FC0"/>
    <w:rsid w:val="058F34B0"/>
    <w:rsid w:val="05D03C38"/>
    <w:rsid w:val="06924A62"/>
    <w:rsid w:val="069845E6"/>
    <w:rsid w:val="073E518E"/>
    <w:rsid w:val="093A1985"/>
    <w:rsid w:val="09772C41"/>
    <w:rsid w:val="0A256191"/>
    <w:rsid w:val="0C2F1549"/>
    <w:rsid w:val="0C8A2C23"/>
    <w:rsid w:val="111D5E14"/>
    <w:rsid w:val="149E54BE"/>
    <w:rsid w:val="15117641"/>
    <w:rsid w:val="159643E7"/>
    <w:rsid w:val="15D13671"/>
    <w:rsid w:val="17D950C6"/>
    <w:rsid w:val="18ED2570"/>
    <w:rsid w:val="1C1D316C"/>
    <w:rsid w:val="1C41576A"/>
    <w:rsid w:val="1CDA2E0B"/>
    <w:rsid w:val="1CDF6673"/>
    <w:rsid w:val="1E122A78"/>
    <w:rsid w:val="1E6876C9"/>
    <w:rsid w:val="1F843502"/>
    <w:rsid w:val="20084133"/>
    <w:rsid w:val="204360D3"/>
    <w:rsid w:val="224822F2"/>
    <w:rsid w:val="22602004"/>
    <w:rsid w:val="22C72083"/>
    <w:rsid w:val="22FF7A6F"/>
    <w:rsid w:val="23052BAC"/>
    <w:rsid w:val="23445482"/>
    <w:rsid w:val="261F21FC"/>
    <w:rsid w:val="26760048"/>
    <w:rsid w:val="27135897"/>
    <w:rsid w:val="2778394C"/>
    <w:rsid w:val="27E70AD2"/>
    <w:rsid w:val="29322C1E"/>
    <w:rsid w:val="294361DC"/>
    <w:rsid w:val="296E14AB"/>
    <w:rsid w:val="29F23E8A"/>
    <w:rsid w:val="2A4E4E38"/>
    <w:rsid w:val="2AAA55F1"/>
    <w:rsid w:val="2AE00186"/>
    <w:rsid w:val="2CA7379B"/>
    <w:rsid w:val="2CE118AF"/>
    <w:rsid w:val="2D0344FB"/>
    <w:rsid w:val="2F2D551E"/>
    <w:rsid w:val="2F4F1437"/>
    <w:rsid w:val="2FB614B6"/>
    <w:rsid w:val="30B33C47"/>
    <w:rsid w:val="31AB2B70"/>
    <w:rsid w:val="34AD54B9"/>
    <w:rsid w:val="34AE4E51"/>
    <w:rsid w:val="34EC597A"/>
    <w:rsid w:val="37403D94"/>
    <w:rsid w:val="379522F8"/>
    <w:rsid w:val="38B41477"/>
    <w:rsid w:val="399B34CA"/>
    <w:rsid w:val="39BF365D"/>
    <w:rsid w:val="3A345F6B"/>
    <w:rsid w:val="3B20637D"/>
    <w:rsid w:val="3B253993"/>
    <w:rsid w:val="3EA60249"/>
    <w:rsid w:val="3FB5526A"/>
    <w:rsid w:val="3FB672B0"/>
    <w:rsid w:val="402C3569"/>
    <w:rsid w:val="40C31C84"/>
    <w:rsid w:val="422449A5"/>
    <w:rsid w:val="43F762B1"/>
    <w:rsid w:val="44867251"/>
    <w:rsid w:val="44F55093"/>
    <w:rsid w:val="44FC7513"/>
    <w:rsid w:val="45473E04"/>
    <w:rsid w:val="454A4722"/>
    <w:rsid w:val="45FE550D"/>
    <w:rsid w:val="46E841F3"/>
    <w:rsid w:val="479C4FDD"/>
    <w:rsid w:val="47AF2F63"/>
    <w:rsid w:val="481E02A5"/>
    <w:rsid w:val="49203AEA"/>
    <w:rsid w:val="49975A5C"/>
    <w:rsid w:val="49CB1BAA"/>
    <w:rsid w:val="4AC33583"/>
    <w:rsid w:val="4AEA6060"/>
    <w:rsid w:val="4DD52FF7"/>
    <w:rsid w:val="4FBE2DC1"/>
    <w:rsid w:val="50A05B3E"/>
    <w:rsid w:val="51A95A08"/>
    <w:rsid w:val="53334A48"/>
    <w:rsid w:val="534D3630"/>
    <w:rsid w:val="53642E53"/>
    <w:rsid w:val="5449029B"/>
    <w:rsid w:val="54606DF1"/>
    <w:rsid w:val="55A27C63"/>
    <w:rsid w:val="55C81AC6"/>
    <w:rsid w:val="57EA3B43"/>
    <w:rsid w:val="5895585D"/>
    <w:rsid w:val="5B6C0C4E"/>
    <w:rsid w:val="5B8C1CA7"/>
    <w:rsid w:val="5B9174FE"/>
    <w:rsid w:val="5BA83AF9"/>
    <w:rsid w:val="5CD32DF8"/>
    <w:rsid w:val="5D79399F"/>
    <w:rsid w:val="5D9D3541"/>
    <w:rsid w:val="5E0272E6"/>
    <w:rsid w:val="5FA10F8B"/>
    <w:rsid w:val="62404A8B"/>
    <w:rsid w:val="626C3AD2"/>
    <w:rsid w:val="64095351"/>
    <w:rsid w:val="649B16A8"/>
    <w:rsid w:val="65D8147F"/>
    <w:rsid w:val="65FF6A0B"/>
    <w:rsid w:val="670C7632"/>
    <w:rsid w:val="68EC771B"/>
    <w:rsid w:val="69BC032C"/>
    <w:rsid w:val="6A883473"/>
    <w:rsid w:val="6BA20565"/>
    <w:rsid w:val="6CC032D4"/>
    <w:rsid w:val="6DD62748"/>
    <w:rsid w:val="6F51652A"/>
    <w:rsid w:val="6FA50623"/>
    <w:rsid w:val="6FAF1188"/>
    <w:rsid w:val="710C022E"/>
    <w:rsid w:val="712B2DAA"/>
    <w:rsid w:val="735A7977"/>
    <w:rsid w:val="73B75666"/>
    <w:rsid w:val="74872D42"/>
    <w:rsid w:val="74DD4329"/>
    <w:rsid w:val="760F764A"/>
    <w:rsid w:val="76944F4E"/>
    <w:rsid w:val="775A1CF3"/>
    <w:rsid w:val="798B4E77"/>
    <w:rsid w:val="79E955B1"/>
    <w:rsid w:val="7A8157E9"/>
    <w:rsid w:val="7CB70E95"/>
    <w:rsid w:val="7D316AC5"/>
    <w:rsid w:val="7D3F20B7"/>
    <w:rsid w:val="7D7D4F3F"/>
    <w:rsid w:val="7DC24E6E"/>
    <w:rsid w:val="7EEA3577"/>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20" w:lineRule="exact"/>
      <w:ind w:firstLine="640" w:firstLineChars="200"/>
    </w:pPr>
    <w:rPr>
      <w:rFonts w:ascii="仿宋_GB2312" w:eastAsia="仿宋_GB2312"/>
      <w:sz w:val="32"/>
      <w:szCs w:val="32"/>
    </w:rPr>
  </w:style>
  <w:style w:type="paragraph" w:styleId="3">
    <w:name w:val="Plain Text"/>
    <w:basedOn w:val="1"/>
    <w:qFormat/>
    <w:uiPriority w:val="0"/>
    <w:rPr>
      <w:rFonts w:ascii="宋体" w:hAnsi="Courier New" w:cs="Courier New"/>
      <w:szCs w:val="21"/>
    </w:rPr>
  </w:style>
  <w:style w:type="paragraph" w:styleId="4">
    <w:name w:val="footer"/>
    <w:basedOn w:val="1"/>
    <w:link w:val="23"/>
    <w:qFormat/>
    <w:uiPriority w:val="0"/>
    <w:pPr>
      <w:tabs>
        <w:tab w:val="center" w:pos="4153"/>
        <w:tab w:val="right" w:pos="8306"/>
      </w:tabs>
      <w:snapToGrid w:val="0"/>
      <w:jc w:val="left"/>
    </w:pPr>
    <w:rPr>
      <w:sz w:val="18"/>
      <w:szCs w:val="18"/>
    </w:rPr>
  </w:style>
  <w:style w:type="paragraph" w:styleId="5">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paragraph" w:customStyle="1" w:styleId="1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7">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9">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1">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22">
    <w:name w:val="页眉 Char"/>
    <w:basedOn w:val="8"/>
    <w:link w:val="5"/>
    <w:qFormat/>
    <w:uiPriority w:val="0"/>
    <w:rPr>
      <w:kern w:val="2"/>
      <w:sz w:val="18"/>
      <w:szCs w:val="18"/>
    </w:rPr>
  </w:style>
  <w:style w:type="character" w:customStyle="1" w:styleId="23">
    <w:name w:val="页脚 Char"/>
    <w:basedOn w:val="8"/>
    <w:link w:val="4"/>
    <w:qFormat/>
    <w:uiPriority w:val="0"/>
    <w:rPr>
      <w:kern w:val="2"/>
      <w:sz w:val="18"/>
      <w:szCs w:val="18"/>
    </w:rPr>
  </w:style>
  <w:style w:type="paragraph" w:styleId="2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9394</Words>
  <Characters>9843</Characters>
  <Lines>2</Lines>
  <Paragraphs>3</Paragraphs>
  <TotalTime>0</TotalTime>
  <ScaleCrop>false</ScaleCrop>
  <LinksUpToDate>false</LinksUpToDate>
  <CharactersWithSpaces>10383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2024-11-06T00:22:00Z</cp:lastPrinted>
  <dcterms:modified xsi:type="dcterms:W3CDTF">2024-11-29T07:51:16Z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E953B15348694462BCF26AC8F88C35FC_13</vt:lpwstr>
  </property>
</Properties>
</file>