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8BBE9">
      <w:pPr>
        <w:ind w:firstLine="1440" w:firstLineChars="450"/>
        <w:rPr>
          <w:rFonts w:hint="eastAsia" w:ascii="方正小标宋简体" w:hAnsi="方正小标宋简体" w:eastAsia="黑体"/>
          <w:sz w:val="32"/>
          <w:szCs w:val="32"/>
          <w:u w:val="single"/>
          <w:lang w:val="en-US" w:eastAsia="zh-CN"/>
        </w:rPr>
      </w:pPr>
      <w:r>
        <w:rPr>
          <w:rFonts w:hint="eastAsia" w:ascii="黑体" w:hAnsi="黑体" w:eastAsia="黑体" w:cs="黑体"/>
          <w:sz w:val="32"/>
          <w:szCs w:val="32"/>
          <w:u w:val="none"/>
        </w:rPr>
        <w:t>项目名称</w:t>
      </w:r>
      <w:r>
        <w:rPr>
          <w:rFonts w:hint="eastAsia" w:ascii="方正小标宋简体" w:hAnsi="方正小标宋简体" w:eastAsia="方正小标宋简体"/>
          <w:sz w:val="32"/>
          <w:szCs w:val="32"/>
        </w:rPr>
        <w:t>：</w:t>
      </w:r>
      <w:r>
        <w:rPr>
          <w:rFonts w:hint="eastAsia" w:ascii="黑体" w:hAnsi="黑体" w:eastAsia="黑体" w:cs="黑体"/>
          <w:sz w:val="32"/>
          <w:szCs w:val="32"/>
          <w:u w:val="single"/>
        </w:rPr>
        <w:t>医保双通道业务接口改造</w:t>
      </w:r>
      <w:r>
        <w:rPr>
          <w:rFonts w:hint="eastAsia" w:ascii="黑体" w:hAnsi="黑体" w:eastAsia="黑体" w:cs="黑体"/>
          <w:sz w:val="32"/>
          <w:szCs w:val="32"/>
          <w:u w:val="single"/>
          <w:lang w:val="en-US" w:eastAsia="zh-CN"/>
        </w:rPr>
        <w:t>项目</w:t>
      </w:r>
      <w:bookmarkStart w:id="0" w:name="_GoBack"/>
      <w:bookmarkEnd w:id="0"/>
    </w:p>
    <w:p w14:paraId="73F85A41">
      <w:pPr>
        <w:rPr>
          <w:rFonts w:ascii="方正小标宋简体" w:hAnsi="方正小标宋简体" w:eastAsia="方正小标宋简体"/>
          <w:sz w:val="44"/>
          <w:szCs w:val="44"/>
        </w:rPr>
      </w:pPr>
    </w:p>
    <w:p w14:paraId="60FF0358">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lang w:val="en-US" w:eastAsia="zh-CN"/>
        </w:rPr>
        <w:t>一</w:t>
      </w:r>
      <w:r>
        <w:rPr>
          <w:rFonts w:hint="eastAsia" w:ascii="黑体" w:hAnsi="黑体" w:eastAsia="黑体"/>
          <w:sz w:val="32"/>
          <w:szCs w:val="32"/>
        </w:rPr>
        <w:t>、需求清单</w:t>
      </w:r>
    </w:p>
    <w:p w14:paraId="52DE9C37">
      <w:pPr>
        <w:spacing w:line="560" w:lineRule="exact"/>
        <w:ind w:firstLine="640" w:firstLineChars="200"/>
        <w:jc w:val="left"/>
        <w:rPr>
          <w:rFonts w:hint="eastAsia" w:ascii="仿宋" w:hAnsi="仿宋" w:eastAsia="仿宋" w:cs="仿宋"/>
          <w:sz w:val="28"/>
          <w:szCs w:val="28"/>
        </w:rPr>
      </w:pPr>
      <w:r>
        <w:rPr>
          <w:rFonts w:hint="eastAsia" w:ascii="楷体" w:hAnsi="楷体" w:eastAsia="楷体"/>
          <w:sz w:val="32"/>
          <w:szCs w:val="32"/>
        </w:rPr>
        <w:t>（一）项目概况</w:t>
      </w:r>
    </w:p>
    <w:p w14:paraId="40ED0928">
      <w:pPr>
        <w:widowControl/>
        <w:ind w:firstLine="840" w:firstLineChars="300"/>
        <w:jc w:val="left"/>
        <w:rPr>
          <w:rFonts w:hint="eastAsia" w:ascii="仿宋" w:hAnsi="仿宋" w:eastAsia="仿宋" w:cs="仿宋"/>
          <w:sz w:val="28"/>
          <w:szCs w:val="28"/>
        </w:rPr>
      </w:pPr>
      <w:r>
        <w:rPr>
          <w:rFonts w:hint="eastAsia" w:ascii="仿宋" w:hAnsi="仿宋" w:eastAsia="仿宋" w:cs="仿宋"/>
          <w:sz w:val="28"/>
          <w:szCs w:val="28"/>
        </w:rPr>
        <w:t>根据来文《广州市医疗保险服务中心关于定点医疗机构试点开展广州市国家医保谈判药品“双通道”业务的通知》，符合开展条</w:t>
      </w:r>
      <w:r>
        <w:rPr>
          <w:rFonts w:ascii="仿宋" w:hAnsi="仿宋" w:eastAsia="仿宋" w:cs="仿宋"/>
          <w:sz w:val="28"/>
          <w:szCs w:val="28"/>
        </w:rPr>
        <w:t>件的定点医疗机构，要求试点开展广州市国家医保谈判药品“双通道”业务，目前国谈药品“双通道”管理是国家医保局和卫健部门联合推动的工作，目的是解决国谈完毕但药品进院困难的问题，让有需要的参保人能及时用到国谈药品。“双通道”流程：医生开具外配处方-处方上传医保系统-参保人到系统分配的药店结账、取药（注射剂由配送公司送到医院）。</w:t>
      </w:r>
    </w:p>
    <w:p w14:paraId="1E945F10">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（二）采购标的汇总表</w:t>
      </w:r>
    </w:p>
    <w:tbl>
      <w:tblPr>
        <w:tblStyle w:val="4"/>
        <w:tblW w:w="7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184"/>
        <w:gridCol w:w="1515"/>
        <w:gridCol w:w="990"/>
        <w:gridCol w:w="839"/>
        <w:gridCol w:w="993"/>
      </w:tblGrid>
      <w:tr w14:paraId="22E9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850" w:type="dxa"/>
            <w:noWrap w:val="0"/>
            <w:vAlign w:val="center"/>
          </w:tcPr>
          <w:p w14:paraId="10D168B7">
            <w:pPr>
              <w:spacing w:line="560" w:lineRule="exact"/>
              <w:jc w:val="center"/>
              <w:rPr>
                <w:rFonts w:ascii="仿宋" w:hAnsi="仿宋" w:eastAsia="仿宋"/>
                <w:b/>
                <w:sz w:val="28"/>
                <w:szCs w:val="28"/>
              </w:rPr>
            </w:pPr>
            <w:r>
              <w:rPr>
                <w:rFonts w:hint="eastAsia" w:ascii="仿宋" w:hAnsi="仿宋" w:eastAsia="仿宋"/>
                <w:b/>
                <w:sz w:val="28"/>
                <w:szCs w:val="28"/>
              </w:rPr>
              <w:t>序号</w:t>
            </w:r>
          </w:p>
        </w:tc>
        <w:tc>
          <w:tcPr>
            <w:tcW w:w="2184" w:type="dxa"/>
            <w:noWrap w:val="0"/>
            <w:vAlign w:val="center"/>
          </w:tcPr>
          <w:p w14:paraId="3A516E59">
            <w:pPr>
              <w:spacing w:line="560" w:lineRule="exact"/>
              <w:jc w:val="center"/>
              <w:rPr>
                <w:rFonts w:ascii="仿宋" w:hAnsi="仿宋" w:eastAsia="仿宋"/>
                <w:b/>
                <w:sz w:val="28"/>
                <w:szCs w:val="28"/>
              </w:rPr>
            </w:pPr>
            <w:r>
              <w:rPr>
                <w:rFonts w:hint="eastAsia" w:ascii="仿宋" w:hAnsi="仿宋" w:eastAsia="仿宋"/>
                <w:b/>
                <w:sz w:val="28"/>
                <w:szCs w:val="28"/>
              </w:rPr>
              <w:t>标的名称</w:t>
            </w:r>
          </w:p>
        </w:tc>
        <w:tc>
          <w:tcPr>
            <w:tcW w:w="1515" w:type="dxa"/>
            <w:noWrap w:val="0"/>
            <w:vAlign w:val="center"/>
          </w:tcPr>
          <w:p w14:paraId="611B73BA">
            <w:pPr>
              <w:spacing w:line="560" w:lineRule="exact"/>
              <w:jc w:val="center"/>
              <w:rPr>
                <w:rFonts w:ascii="仿宋" w:hAnsi="仿宋" w:eastAsia="仿宋"/>
                <w:b/>
                <w:sz w:val="28"/>
                <w:szCs w:val="28"/>
              </w:rPr>
            </w:pPr>
            <w:r>
              <w:rPr>
                <w:rFonts w:hint="eastAsia" w:ascii="仿宋" w:hAnsi="仿宋" w:eastAsia="仿宋"/>
                <w:b/>
                <w:sz w:val="28"/>
                <w:szCs w:val="28"/>
              </w:rPr>
              <w:t>品目</w:t>
            </w:r>
          </w:p>
          <w:p w14:paraId="2619F652">
            <w:pPr>
              <w:spacing w:line="560" w:lineRule="exact"/>
              <w:jc w:val="center"/>
              <w:rPr>
                <w:rFonts w:ascii="仿宋" w:hAnsi="仿宋" w:eastAsia="仿宋"/>
                <w:b/>
                <w:sz w:val="28"/>
                <w:szCs w:val="28"/>
              </w:rPr>
            </w:pPr>
            <w:r>
              <w:rPr>
                <w:rFonts w:hint="eastAsia" w:ascii="仿宋" w:hAnsi="仿宋" w:eastAsia="仿宋"/>
                <w:b/>
                <w:sz w:val="28"/>
                <w:szCs w:val="28"/>
              </w:rPr>
              <w:t>分类编码</w:t>
            </w:r>
          </w:p>
        </w:tc>
        <w:tc>
          <w:tcPr>
            <w:tcW w:w="990" w:type="dxa"/>
            <w:noWrap w:val="0"/>
            <w:vAlign w:val="center"/>
          </w:tcPr>
          <w:p w14:paraId="10F957EC">
            <w:pPr>
              <w:spacing w:line="560" w:lineRule="exact"/>
              <w:jc w:val="center"/>
              <w:rPr>
                <w:rFonts w:ascii="仿宋" w:hAnsi="仿宋" w:eastAsia="仿宋"/>
                <w:b/>
                <w:sz w:val="28"/>
                <w:szCs w:val="28"/>
              </w:rPr>
            </w:pPr>
            <w:r>
              <w:rPr>
                <w:rFonts w:hint="eastAsia" w:ascii="仿宋" w:hAnsi="仿宋" w:eastAsia="仿宋"/>
                <w:b/>
                <w:sz w:val="28"/>
                <w:szCs w:val="28"/>
              </w:rPr>
              <w:t>计量</w:t>
            </w:r>
          </w:p>
          <w:p w14:paraId="668C85D2">
            <w:pPr>
              <w:spacing w:line="560" w:lineRule="exact"/>
              <w:jc w:val="center"/>
              <w:rPr>
                <w:rFonts w:ascii="仿宋" w:hAnsi="仿宋" w:eastAsia="仿宋"/>
                <w:b/>
                <w:sz w:val="28"/>
                <w:szCs w:val="28"/>
              </w:rPr>
            </w:pPr>
            <w:r>
              <w:rPr>
                <w:rFonts w:hint="eastAsia" w:ascii="仿宋" w:hAnsi="仿宋" w:eastAsia="仿宋"/>
                <w:b/>
                <w:sz w:val="28"/>
                <w:szCs w:val="28"/>
              </w:rPr>
              <w:t>单位</w:t>
            </w:r>
          </w:p>
        </w:tc>
        <w:tc>
          <w:tcPr>
            <w:tcW w:w="839" w:type="dxa"/>
            <w:noWrap w:val="0"/>
            <w:vAlign w:val="center"/>
          </w:tcPr>
          <w:p w14:paraId="3031BCB9">
            <w:pPr>
              <w:spacing w:line="560" w:lineRule="exact"/>
              <w:jc w:val="center"/>
              <w:rPr>
                <w:rFonts w:ascii="仿宋" w:hAnsi="仿宋" w:eastAsia="仿宋"/>
                <w:b/>
                <w:sz w:val="28"/>
                <w:szCs w:val="28"/>
              </w:rPr>
            </w:pPr>
            <w:r>
              <w:rPr>
                <w:rFonts w:hint="eastAsia" w:ascii="仿宋" w:hAnsi="仿宋" w:eastAsia="仿宋"/>
                <w:b/>
                <w:sz w:val="28"/>
                <w:szCs w:val="28"/>
              </w:rPr>
              <w:t>数量</w:t>
            </w:r>
          </w:p>
        </w:tc>
        <w:tc>
          <w:tcPr>
            <w:tcW w:w="993" w:type="dxa"/>
            <w:noWrap w:val="0"/>
            <w:vAlign w:val="center"/>
          </w:tcPr>
          <w:p w14:paraId="5F8E1228">
            <w:pPr>
              <w:spacing w:line="560" w:lineRule="exact"/>
              <w:jc w:val="center"/>
              <w:rPr>
                <w:rFonts w:ascii="仿宋" w:hAnsi="仿宋" w:eastAsia="仿宋"/>
                <w:b/>
                <w:sz w:val="28"/>
                <w:szCs w:val="28"/>
              </w:rPr>
            </w:pPr>
            <w:r>
              <w:rPr>
                <w:rFonts w:hint="eastAsia" w:ascii="仿宋" w:hAnsi="仿宋" w:eastAsia="仿宋"/>
                <w:b/>
                <w:sz w:val="28"/>
                <w:szCs w:val="28"/>
              </w:rPr>
              <w:t>是否进口</w:t>
            </w:r>
          </w:p>
        </w:tc>
      </w:tr>
      <w:tr w14:paraId="340E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noWrap w:val="0"/>
            <w:vAlign w:val="center"/>
          </w:tcPr>
          <w:p w14:paraId="1E2F3D99">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1</w:t>
            </w:r>
          </w:p>
        </w:tc>
        <w:tc>
          <w:tcPr>
            <w:tcW w:w="2184" w:type="dxa"/>
            <w:noWrap w:val="0"/>
            <w:vAlign w:val="center"/>
          </w:tcPr>
          <w:p w14:paraId="710E8C38">
            <w:pPr>
              <w:adjustRightInd w:val="0"/>
              <w:snapToGrid w:val="0"/>
              <w:spacing w:line="560" w:lineRule="exact"/>
              <w:jc w:val="center"/>
              <w:rPr>
                <w:rFonts w:hint="eastAsia" w:ascii="仿宋" w:hAnsi="仿宋" w:eastAsia="仿宋"/>
                <w:i/>
                <w:sz w:val="28"/>
                <w:szCs w:val="28"/>
                <w:u w:val="single"/>
              </w:rPr>
            </w:pPr>
            <w:r>
              <w:rPr>
                <w:rFonts w:hint="eastAsia" w:ascii="仿宋" w:hAnsi="仿宋" w:eastAsia="仿宋"/>
                <w:sz w:val="28"/>
                <w:szCs w:val="28"/>
              </w:rPr>
              <w:t>医保双通道业务接口改造</w:t>
            </w:r>
          </w:p>
        </w:tc>
        <w:tc>
          <w:tcPr>
            <w:tcW w:w="1515" w:type="dxa"/>
            <w:noWrap w:val="0"/>
            <w:vAlign w:val="center"/>
          </w:tcPr>
          <w:p w14:paraId="42CFB766">
            <w:pPr>
              <w:widowControl/>
              <w:jc w:val="left"/>
              <w:rPr>
                <w:rFonts w:ascii="仿宋" w:hAnsi="仿宋" w:eastAsia="仿宋"/>
                <w:sz w:val="28"/>
                <w:szCs w:val="28"/>
              </w:rPr>
            </w:pPr>
            <w:r>
              <w:rPr>
                <w:rFonts w:hint="eastAsia" w:ascii="仿宋" w:hAnsi="仿宋" w:eastAsia="仿宋"/>
                <w:sz w:val="28"/>
                <w:szCs w:val="28"/>
              </w:rPr>
              <w:t xml:space="preserve">C02010302 </w:t>
            </w:r>
          </w:p>
        </w:tc>
        <w:tc>
          <w:tcPr>
            <w:tcW w:w="990" w:type="dxa"/>
            <w:noWrap w:val="0"/>
            <w:vAlign w:val="center"/>
          </w:tcPr>
          <w:p w14:paraId="79798B70">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项</w:t>
            </w:r>
          </w:p>
        </w:tc>
        <w:tc>
          <w:tcPr>
            <w:tcW w:w="839" w:type="dxa"/>
            <w:noWrap w:val="0"/>
            <w:vAlign w:val="center"/>
          </w:tcPr>
          <w:p w14:paraId="34B48299">
            <w:pPr>
              <w:adjustRightInd w:val="0"/>
              <w:snapToGrid w:val="0"/>
              <w:spacing w:line="560" w:lineRule="exact"/>
              <w:jc w:val="center"/>
              <w:rPr>
                <w:rFonts w:ascii="仿宋" w:hAnsi="仿宋" w:eastAsia="仿宋"/>
                <w:sz w:val="28"/>
                <w:szCs w:val="28"/>
              </w:rPr>
            </w:pPr>
            <w:r>
              <w:rPr>
                <w:rFonts w:hint="eastAsia" w:ascii="仿宋" w:hAnsi="仿宋" w:eastAsia="仿宋"/>
                <w:sz w:val="28"/>
                <w:szCs w:val="28"/>
              </w:rPr>
              <w:t>1</w:t>
            </w:r>
          </w:p>
        </w:tc>
        <w:tc>
          <w:tcPr>
            <w:tcW w:w="993" w:type="dxa"/>
            <w:noWrap w:val="0"/>
            <w:vAlign w:val="center"/>
          </w:tcPr>
          <w:p w14:paraId="27FECD72">
            <w:pPr>
              <w:adjustRightInd w:val="0"/>
              <w:snapToGrid w:val="0"/>
              <w:spacing w:line="560" w:lineRule="exact"/>
              <w:jc w:val="center"/>
              <w:rPr>
                <w:rFonts w:hint="eastAsia" w:ascii="仿宋" w:hAnsi="仿宋" w:eastAsia="仿宋"/>
                <w:sz w:val="28"/>
                <w:szCs w:val="28"/>
              </w:rPr>
            </w:pPr>
            <w:r>
              <w:rPr>
                <w:rFonts w:hint="eastAsia" w:ascii="仿宋" w:hAnsi="仿宋" w:eastAsia="仿宋"/>
                <w:sz w:val="28"/>
                <w:szCs w:val="28"/>
              </w:rPr>
              <w:t>否</w:t>
            </w:r>
          </w:p>
        </w:tc>
      </w:tr>
    </w:tbl>
    <w:p w14:paraId="3438C736">
      <w:pPr>
        <w:spacing w:line="560" w:lineRule="exact"/>
        <w:jc w:val="left"/>
        <w:rPr>
          <w:rFonts w:ascii="仿宋" w:hAnsi="仿宋" w:eastAsia="仿宋"/>
          <w:b/>
          <w:bCs/>
          <w:i/>
          <w:sz w:val="32"/>
          <w:szCs w:val="32"/>
          <w:u w:val="single"/>
        </w:rPr>
      </w:pPr>
      <w:r>
        <w:rPr>
          <w:rFonts w:hint="eastAsia" w:ascii="楷体" w:hAnsi="楷体" w:eastAsia="楷体"/>
          <w:b/>
          <w:bCs/>
          <w:sz w:val="32"/>
          <w:szCs w:val="32"/>
        </w:rPr>
        <w:t>（</w:t>
      </w:r>
      <w:r>
        <w:rPr>
          <w:rFonts w:hint="eastAsia" w:ascii="楷体" w:hAnsi="楷体" w:eastAsia="楷体"/>
          <w:b/>
          <w:bCs/>
          <w:sz w:val="32"/>
          <w:szCs w:val="32"/>
          <w:lang w:val="en-US" w:eastAsia="zh-CN"/>
        </w:rPr>
        <w:t>三</w:t>
      </w:r>
      <w:r>
        <w:rPr>
          <w:rFonts w:hint="eastAsia" w:ascii="楷体" w:hAnsi="楷体" w:eastAsia="楷体"/>
          <w:b/>
          <w:bCs/>
          <w:sz w:val="32"/>
          <w:szCs w:val="32"/>
        </w:rPr>
        <w:t>）技术商务要求</w:t>
      </w:r>
    </w:p>
    <w:p w14:paraId="32619FAB">
      <w:pPr>
        <w:numPr>
          <w:ilvl w:val="0"/>
          <w:numId w:val="1"/>
        </w:numPr>
        <w:jc w:val="left"/>
        <w:rPr>
          <w:rFonts w:hint="eastAsia" w:ascii="仿宋" w:hAnsi="仿宋" w:eastAsia="仿宋" w:cs="仿宋"/>
          <w:b/>
          <w:bCs/>
          <w:sz w:val="32"/>
          <w:szCs w:val="32"/>
        </w:rPr>
      </w:pPr>
      <w:r>
        <w:rPr>
          <w:rFonts w:hint="eastAsia" w:ascii="仿宋" w:hAnsi="仿宋" w:eastAsia="仿宋" w:cs="仿宋"/>
          <w:b/>
          <w:bCs/>
          <w:sz w:val="32"/>
          <w:szCs w:val="32"/>
        </w:rPr>
        <w:t>技术要求</w:t>
      </w:r>
    </w:p>
    <w:tbl>
      <w:tblPr>
        <w:tblStyle w:val="4"/>
        <w:tblW w:w="8959" w:type="dxa"/>
        <w:tblInd w:w="93" w:type="dxa"/>
        <w:tblLayout w:type="autofit"/>
        <w:tblCellMar>
          <w:top w:w="0" w:type="dxa"/>
          <w:left w:w="108" w:type="dxa"/>
          <w:bottom w:w="0" w:type="dxa"/>
          <w:right w:w="108" w:type="dxa"/>
        </w:tblCellMar>
      </w:tblPr>
      <w:tblGrid>
        <w:gridCol w:w="783"/>
        <w:gridCol w:w="2812"/>
        <w:gridCol w:w="5364"/>
      </w:tblGrid>
      <w:tr w14:paraId="1DB4B947">
        <w:tblPrEx>
          <w:tblCellMar>
            <w:top w:w="0" w:type="dxa"/>
            <w:left w:w="108" w:type="dxa"/>
            <w:bottom w:w="0" w:type="dxa"/>
            <w:right w:w="108" w:type="dxa"/>
          </w:tblCellMar>
        </w:tblPrEx>
        <w:trPr>
          <w:trHeight w:val="422" w:hRule="atLeast"/>
        </w:trPr>
        <w:tc>
          <w:tcPr>
            <w:tcW w:w="783" w:type="dxa"/>
            <w:tcBorders>
              <w:top w:val="single" w:color="000000" w:sz="4" w:space="0"/>
              <w:left w:val="single" w:color="000000" w:sz="4" w:space="0"/>
              <w:bottom w:val="single" w:color="000000" w:sz="4" w:space="0"/>
              <w:right w:val="single" w:color="000000" w:sz="4" w:space="0"/>
            </w:tcBorders>
            <w:noWrap/>
            <w:vAlign w:val="center"/>
          </w:tcPr>
          <w:p w14:paraId="60B73EE2">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序号</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14:paraId="292D6BBE">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功能项</w:t>
            </w:r>
          </w:p>
        </w:tc>
        <w:tc>
          <w:tcPr>
            <w:tcW w:w="5364" w:type="dxa"/>
            <w:tcBorders>
              <w:top w:val="single" w:color="000000" w:sz="4" w:space="0"/>
              <w:left w:val="single" w:color="000000" w:sz="4" w:space="0"/>
              <w:bottom w:val="single" w:color="000000" w:sz="4" w:space="0"/>
              <w:right w:val="single" w:color="000000" w:sz="4" w:space="0"/>
            </w:tcBorders>
            <w:noWrap w:val="0"/>
            <w:vAlign w:val="center"/>
          </w:tcPr>
          <w:p w14:paraId="5681623F">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功能说明</w:t>
            </w:r>
          </w:p>
        </w:tc>
      </w:tr>
      <w:tr w14:paraId="1EA61916">
        <w:tblPrEx>
          <w:tblCellMar>
            <w:top w:w="0" w:type="dxa"/>
            <w:left w:w="108" w:type="dxa"/>
            <w:bottom w:w="0" w:type="dxa"/>
            <w:right w:w="108" w:type="dxa"/>
          </w:tblCellMar>
        </w:tblPrEx>
        <w:trPr>
          <w:trHeight w:val="1184" w:hRule="atLeast"/>
        </w:trPr>
        <w:tc>
          <w:tcPr>
            <w:tcW w:w="783" w:type="dxa"/>
            <w:tcBorders>
              <w:top w:val="single" w:color="000000" w:sz="4" w:space="0"/>
              <w:left w:val="single" w:color="000000" w:sz="4" w:space="0"/>
              <w:bottom w:val="single" w:color="000000" w:sz="4" w:space="0"/>
              <w:right w:val="single" w:color="000000" w:sz="4" w:space="0"/>
            </w:tcBorders>
            <w:noWrap/>
            <w:vAlign w:val="center"/>
          </w:tcPr>
          <w:p w14:paraId="19C3E47B">
            <w:pPr>
              <w:widowControl/>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14:paraId="1BAF6290">
            <w:pPr>
              <w:widowControl/>
              <w:jc w:val="left"/>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双通道药品处方开具</w:t>
            </w:r>
          </w:p>
        </w:tc>
        <w:tc>
          <w:tcPr>
            <w:tcW w:w="5364" w:type="dxa"/>
            <w:tcBorders>
              <w:top w:val="single" w:color="000000" w:sz="4" w:space="0"/>
              <w:left w:val="single" w:color="000000" w:sz="4" w:space="0"/>
              <w:bottom w:val="single" w:color="000000" w:sz="4" w:space="0"/>
              <w:right w:val="single" w:color="000000" w:sz="4" w:space="0"/>
            </w:tcBorders>
            <w:noWrap w:val="0"/>
            <w:vAlign w:val="center"/>
          </w:tcPr>
          <w:p w14:paraId="4891E4E6">
            <w:pPr>
              <w:widowControl/>
              <w:jc w:val="left"/>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医生在门诊或住院医生工作站开具双通道处方；</w:t>
            </w:r>
          </w:p>
        </w:tc>
      </w:tr>
      <w:tr w14:paraId="320B28C7">
        <w:tblPrEx>
          <w:tblCellMar>
            <w:top w:w="0" w:type="dxa"/>
            <w:left w:w="108" w:type="dxa"/>
            <w:bottom w:w="0" w:type="dxa"/>
            <w:right w:w="108" w:type="dxa"/>
          </w:tblCellMar>
        </w:tblPrEx>
        <w:trPr>
          <w:trHeight w:val="1184" w:hRule="atLeast"/>
        </w:trPr>
        <w:tc>
          <w:tcPr>
            <w:tcW w:w="783" w:type="dxa"/>
            <w:tcBorders>
              <w:top w:val="single" w:color="000000" w:sz="4" w:space="0"/>
              <w:left w:val="single" w:color="000000" w:sz="4" w:space="0"/>
              <w:bottom w:val="single" w:color="000000" w:sz="4" w:space="0"/>
              <w:right w:val="single" w:color="000000" w:sz="4" w:space="0"/>
            </w:tcBorders>
            <w:noWrap/>
            <w:vAlign w:val="center"/>
          </w:tcPr>
          <w:p w14:paraId="32C1BEA4">
            <w:pPr>
              <w:widowControl/>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bidi="ar"/>
              </w:rPr>
              <w:t>2</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14:paraId="4E08F9A2">
            <w:pPr>
              <w:widowControl/>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处方审核结果反馈</w:t>
            </w:r>
          </w:p>
          <w:p w14:paraId="5E04D01C">
            <w:pPr>
              <w:widowControl/>
              <w:jc w:val="left"/>
              <w:textAlignment w:val="center"/>
              <w:rPr>
                <w:rFonts w:hint="eastAsia" w:ascii="仿宋" w:hAnsi="仿宋" w:eastAsia="仿宋" w:cs="仿宋"/>
                <w:color w:val="000000"/>
                <w:sz w:val="28"/>
                <w:szCs w:val="28"/>
              </w:rPr>
            </w:pPr>
          </w:p>
        </w:tc>
        <w:tc>
          <w:tcPr>
            <w:tcW w:w="5364" w:type="dxa"/>
            <w:tcBorders>
              <w:top w:val="single" w:color="000000" w:sz="4" w:space="0"/>
              <w:left w:val="single" w:color="000000" w:sz="4" w:space="0"/>
              <w:bottom w:val="single" w:color="000000" w:sz="4" w:space="0"/>
              <w:right w:val="single" w:color="000000" w:sz="4" w:space="0"/>
            </w:tcBorders>
            <w:noWrap w:val="0"/>
            <w:vAlign w:val="center"/>
          </w:tcPr>
          <w:p w14:paraId="70D9083E">
            <w:pPr>
              <w:widowControl/>
              <w:jc w:val="left"/>
              <w:textAlignment w:val="center"/>
              <w:rPr>
                <w:rFonts w:hint="default"/>
                <w:lang w:val="en-US" w:eastAsia="zh-CN"/>
              </w:rPr>
            </w:pPr>
            <w:r>
              <w:rPr>
                <w:rFonts w:hint="eastAsia" w:ascii="仿宋" w:hAnsi="仿宋" w:eastAsia="仿宋" w:cs="仿宋"/>
                <w:color w:val="000000"/>
                <w:kern w:val="0"/>
                <w:sz w:val="28"/>
                <w:szCs w:val="28"/>
                <w:lang w:val="en-US" w:eastAsia="zh-CN" w:bidi="ar"/>
              </w:rPr>
              <w:t>由医院药学部临床药师对处方的合理性进行审核，审核完后上传双通道处方流转平台</w:t>
            </w:r>
          </w:p>
        </w:tc>
      </w:tr>
      <w:tr w14:paraId="03C5590C">
        <w:tblPrEx>
          <w:tblCellMar>
            <w:top w:w="0" w:type="dxa"/>
            <w:left w:w="108" w:type="dxa"/>
            <w:bottom w:w="0" w:type="dxa"/>
            <w:right w:w="108" w:type="dxa"/>
          </w:tblCellMar>
        </w:tblPrEx>
        <w:trPr>
          <w:trHeight w:val="792" w:hRule="atLeast"/>
        </w:trPr>
        <w:tc>
          <w:tcPr>
            <w:tcW w:w="783" w:type="dxa"/>
            <w:tcBorders>
              <w:top w:val="single" w:color="000000" w:sz="4" w:space="0"/>
              <w:left w:val="single" w:color="000000" w:sz="4" w:space="0"/>
              <w:bottom w:val="single" w:color="000000" w:sz="4" w:space="0"/>
              <w:right w:val="single" w:color="000000" w:sz="4" w:space="0"/>
            </w:tcBorders>
            <w:noWrap/>
            <w:vAlign w:val="center"/>
          </w:tcPr>
          <w:p w14:paraId="0FFFA429">
            <w:pPr>
              <w:widowControl/>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bidi="ar"/>
              </w:rPr>
              <w:t>3</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14:paraId="49F528A7">
            <w:pPr>
              <w:pStyle w:val="2"/>
              <w:rPr>
                <w:rFonts w:hint="eastAsia"/>
              </w:rPr>
            </w:pPr>
            <w:r>
              <w:rPr>
                <w:rFonts w:hint="eastAsia" w:ascii="仿宋" w:hAnsi="仿宋" w:eastAsia="仿宋" w:cs="仿宋"/>
                <w:color w:val="000000"/>
                <w:kern w:val="0"/>
                <w:sz w:val="28"/>
                <w:szCs w:val="28"/>
                <w:lang w:bidi="ar"/>
              </w:rPr>
              <w:t>“双通道”药品电子处方上传</w:t>
            </w:r>
          </w:p>
        </w:tc>
        <w:tc>
          <w:tcPr>
            <w:tcW w:w="5364" w:type="dxa"/>
            <w:tcBorders>
              <w:top w:val="single" w:color="000000" w:sz="4" w:space="0"/>
              <w:left w:val="single" w:color="000000" w:sz="4" w:space="0"/>
              <w:bottom w:val="single" w:color="000000" w:sz="4" w:space="0"/>
              <w:right w:val="single" w:color="000000" w:sz="4" w:space="0"/>
            </w:tcBorders>
            <w:noWrap w:val="0"/>
            <w:vAlign w:val="center"/>
          </w:tcPr>
          <w:p w14:paraId="58F739D8">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处方开具后上传医保及药事服务平台（上传信息包括但不限于：病人信息、医保信息、诊断信息和电子签名信息）</w:t>
            </w:r>
          </w:p>
        </w:tc>
      </w:tr>
      <w:tr w14:paraId="3DC85F46">
        <w:tblPrEx>
          <w:tblCellMar>
            <w:top w:w="0" w:type="dxa"/>
            <w:left w:w="108" w:type="dxa"/>
            <w:bottom w:w="0" w:type="dxa"/>
            <w:right w:w="108" w:type="dxa"/>
          </w:tblCellMar>
        </w:tblPrEx>
        <w:trPr>
          <w:trHeight w:val="792" w:hRule="atLeast"/>
        </w:trPr>
        <w:tc>
          <w:tcPr>
            <w:tcW w:w="783" w:type="dxa"/>
            <w:tcBorders>
              <w:top w:val="single" w:color="000000" w:sz="4" w:space="0"/>
              <w:left w:val="single" w:color="000000" w:sz="4" w:space="0"/>
              <w:bottom w:val="single" w:color="000000" w:sz="4" w:space="0"/>
              <w:right w:val="single" w:color="000000" w:sz="4" w:space="0"/>
            </w:tcBorders>
            <w:noWrap/>
            <w:vAlign w:val="center"/>
          </w:tcPr>
          <w:p w14:paraId="226C79FB">
            <w:pPr>
              <w:widowControl/>
              <w:jc w:val="center"/>
              <w:textAlignment w:val="center"/>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val="en-US" w:eastAsia="zh-CN" w:bidi="ar"/>
              </w:rPr>
              <w:t>4</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14:paraId="5670D742">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对接药事服务平台，处方购药结果同步和反馈</w:t>
            </w:r>
          </w:p>
        </w:tc>
        <w:tc>
          <w:tcPr>
            <w:tcW w:w="5364" w:type="dxa"/>
            <w:tcBorders>
              <w:top w:val="single" w:color="000000" w:sz="4" w:space="0"/>
              <w:left w:val="single" w:color="000000" w:sz="4" w:space="0"/>
              <w:bottom w:val="single" w:color="000000" w:sz="4" w:space="0"/>
              <w:right w:val="single" w:color="000000" w:sz="4" w:space="0"/>
            </w:tcBorders>
            <w:noWrap w:val="0"/>
            <w:vAlign w:val="center"/>
          </w:tcPr>
          <w:p w14:paraId="72B60F95">
            <w:pPr>
              <w:widowControl/>
              <w:jc w:val="left"/>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1.患者在手机端平台自行进行购药选择</w:t>
            </w:r>
          </w:p>
          <w:p w14:paraId="403CA2B5">
            <w:pPr>
              <w:widowControl/>
              <w:jc w:val="left"/>
              <w:textAlignment w:val="center"/>
              <w:rPr>
                <w:rStyle w:val="6"/>
                <w:rFonts w:hint="eastAsia"/>
                <w:lang w:eastAsia="zh-CN"/>
              </w:rPr>
            </w:pPr>
            <w:r>
              <w:rPr>
                <w:rFonts w:hint="eastAsia" w:ascii="仿宋" w:hAnsi="仿宋" w:eastAsia="仿宋" w:cs="仿宋"/>
                <w:color w:val="000000"/>
                <w:kern w:val="0"/>
                <w:sz w:val="28"/>
                <w:szCs w:val="28"/>
                <w:lang w:val="en-US" w:eastAsia="zh-CN" w:bidi="ar"/>
              </w:rPr>
              <w:t>2.</w:t>
            </w:r>
            <w:r>
              <w:rPr>
                <w:rFonts w:hint="eastAsia" w:ascii="仿宋" w:hAnsi="仿宋" w:eastAsia="仿宋" w:cs="仿宋"/>
                <w:color w:val="000000"/>
                <w:kern w:val="0"/>
                <w:sz w:val="28"/>
                <w:szCs w:val="28"/>
                <w:lang w:bidi="ar"/>
              </w:rPr>
              <w:t>定点医疗机构对院内已经支付成功处方的支付状态更新到电子处方中心</w:t>
            </w:r>
            <w:r>
              <w:rPr>
                <w:rStyle w:val="6"/>
                <w:rFonts w:hint="eastAsia"/>
                <w:lang w:eastAsia="zh-CN"/>
              </w:rPr>
              <w:t>；</w:t>
            </w:r>
          </w:p>
          <w:p w14:paraId="0E0D7CC6">
            <w:pPr>
              <w:widowControl/>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bidi="ar"/>
              </w:rPr>
              <w:t>3.</w:t>
            </w:r>
            <w:r>
              <w:rPr>
                <w:rFonts w:hint="default" w:ascii="仿宋" w:hAnsi="仿宋" w:eastAsia="仿宋" w:cs="仿宋"/>
                <w:color w:val="000000"/>
                <w:kern w:val="0"/>
                <w:sz w:val="28"/>
                <w:szCs w:val="28"/>
                <w:lang w:val="en-US" w:bidi="ar"/>
              </w:rPr>
              <w:t>定点医疗机构接收</w:t>
            </w:r>
            <w:r>
              <w:rPr>
                <w:rFonts w:hint="eastAsia" w:ascii="仿宋" w:hAnsi="仿宋" w:eastAsia="仿宋" w:cs="仿宋"/>
                <w:color w:val="000000"/>
                <w:kern w:val="0"/>
                <w:sz w:val="28"/>
                <w:szCs w:val="28"/>
                <w:lang w:val="en-US" w:eastAsia="zh-CN" w:bidi="ar"/>
              </w:rPr>
              <w:t>患者</w:t>
            </w:r>
            <w:r>
              <w:rPr>
                <w:rFonts w:hint="default" w:ascii="仿宋" w:hAnsi="仿宋" w:eastAsia="仿宋" w:cs="仿宋"/>
                <w:color w:val="000000"/>
                <w:kern w:val="0"/>
                <w:sz w:val="28"/>
                <w:szCs w:val="28"/>
                <w:lang w:val="en-US" w:bidi="ar"/>
              </w:rPr>
              <w:t>在定点医药机构购药时的购药结果明细的反馈通知</w:t>
            </w:r>
            <w:r>
              <w:rPr>
                <w:rFonts w:hint="eastAsia" w:ascii="仿宋" w:hAnsi="仿宋" w:eastAsia="仿宋" w:cs="仿宋"/>
                <w:color w:val="000000"/>
                <w:kern w:val="0"/>
                <w:sz w:val="28"/>
                <w:szCs w:val="28"/>
                <w:lang w:val="en-US" w:eastAsia="zh-CN" w:bidi="ar"/>
              </w:rPr>
              <w:t>。</w:t>
            </w:r>
          </w:p>
        </w:tc>
      </w:tr>
      <w:tr w14:paraId="25AD1D18">
        <w:tblPrEx>
          <w:tblCellMar>
            <w:top w:w="0" w:type="dxa"/>
            <w:left w:w="108" w:type="dxa"/>
            <w:bottom w:w="0" w:type="dxa"/>
            <w:right w:w="108" w:type="dxa"/>
          </w:tblCellMar>
        </w:tblPrEx>
        <w:trPr>
          <w:trHeight w:val="792" w:hRule="atLeast"/>
        </w:trPr>
        <w:tc>
          <w:tcPr>
            <w:tcW w:w="783" w:type="dxa"/>
            <w:tcBorders>
              <w:top w:val="single" w:color="000000" w:sz="4" w:space="0"/>
              <w:left w:val="single" w:color="000000" w:sz="4" w:space="0"/>
              <w:bottom w:val="single" w:color="000000" w:sz="4" w:space="0"/>
              <w:right w:val="single" w:color="000000" w:sz="4" w:space="0"/>
            </w:tcBorders>
            <w:noWrap/>
            <w:vAlign w:val="center"/>
          </w:tcPr>
          <w:p w14:paraId="7122ABD8">
            <w:pPr>
              <w:widowControl/>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14:paraId="2C1FA827">
            <w:pPr>
              <w:widowControl/>
              <w:jc w:val="left"/>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bidi="ar"/>
              </w:rPr>
              <w:t>处方协同闭环管理对接</w:t>
            </w:r>
          </w:p>
        </w:tc>
        <w:tc>
          <w:tcPr>
            <w:tcW w:w="5364" w:type="dxa"/>
            <w:tcBorders>
              <w:top w:val="single" w:color="000000" w:sz="4" w:space="0"/>
              <w:left w:val="single" w:color="000000" w:sz="4" w:space="0"/>
              <w:bottom w:val="single" w:color="000000" w:sz="4" w:space="0"/>
              <w:right w:val="single" w:color="000000" w:sz="4" w:space="0"/>
            </w:tcBorders>
            <w:noWrap w:val="0"/>
            <w:vAlign w:val="center"/>
          </w:tcPr>
          <w:p w14:paraId="61014EDC">
            <w:pPr>
              <w:widowControl/>
              <w:jc w:val="left"/>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bidi="ar"/>
              </w:rPr>
              <w:t>对接处方协同药学管理服务，闭环信息同步、药店库存校验、目录同步、订单推送、服务凭证打印等</w:t>
            </w:r>
          </w:p>
        </w:tc>
      </w:tr>
      <w:tr w14:paraId="24F9B215">
        <w:tblPrEx>
          <w:tblCellMar>
            <w:top w:w="0" w:type="dxa"/>
            <w:left w:w="108" w:type="dxa"/>
            <w:bottom w:w="0" w:type="dxa"/>
            <w:right w:w="108" w:type="dxa"/>
          </w:tblCellMar>
        </w:tblPrEx>
        <w:trPr>
          <w:trHeight w:val="792" w:hRule="atLeast"/>
        </w:trPr>
        <w:tc>
          <w:tcPr>
            <w:tcW w:w="783" w:type="dxa"/>
            <w:tcBorders>
              <w:top w:val="single" w:color="000000" w:sz="4" w:space="0"/>
              <w:left w:val="single" w:color="000000" w:sz="4" w:space="0"/>
              <w:bottom w:val="single" w:color="000000" w:sz="4" w:space="0"/>
              <w:right w:val="single" w:color="000000" w:sz="4" w:space="0"/>
            </w:tcBorders>
            <w:noWrap/>
            <w:vAlign w:val="center"/>
          </w:tcPr>
          <w:p w14:paraId="3455EA5E">
            <w:pPr>
              <w:widowControl/>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bidi="ar"/>
              </w:rPr>
              <w:t>6</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14:paraId="5DF725EB">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电子处方撤销</w:t>
            </w:r>
          </w:p>
        </w:tc>
        <w:tc>
          <w:tcPr>
            <w:tcW w:w="5364" w:type="dxa"/>
            <w:tcBorders>
              <w:top w:val="single" w:color="000000" w:sz="4" w:space="0"/>
              <w:left w:val="single" w:color="000000" w:sz="4" w:space="0"/>
              <w:bottom w:val="single" w:color="000000" w:sz="4" w:space="0"/>
              <w:right w:val="single" w:color="000000" w:sz="4" w:space="0"/>
            </w:tcBorders>
            <w:noWrap w:val="0"/>
            <w:vAlign w:val="center"/>
          </w:tcPr>
          <w:p w14:paraId="17B8B62A">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定点医疗机构对还未结算的异常电子处方进行撤销操作</w:t>
            </w:r>
          </w:p>
        </w:tc>
      </w:tr>
      <w:tr w14:paraId="0137C986">
        <w:tblPrEx>
          <w:tblCellMar>
            <w:top w:w="0" w:type="dxa"/>
            <w:left w:w="108" w:type="dxa"/>
            <w:bottom w:w="0" w:type="dxa"/>
            <w:right w:w="108" w:type="dxa"/>
          </w:tblCellMar>
        </w:tblPrEx>
        <w:trPr>
          <w:trHeight w:val="792" w:hRule="atLeast"/>
        </w:trPr>
        <w:tc>
          <w:tcPr>
            <w:tcW w:w="783" w:type="dxa"/>
            <w:tcBorders>
              <w:top w:val="single" w:color="000000" w:sz="4" w:space="0"/>
              <w:left w:val="single" w:color="000000" w:sz="4" w:space="0"/>
              <w:bottom w:val="single" w:color="000000" w:sz="4" w:space="0"/>
              <w:right w:val="single" w:color="000000" w:sz="4" w:space="0"/>
            </w:tcBorders>
            <w:noWrap/>
            <w:vAlign w:val="center"/>
          </w:tcPr>
          <w:p w14:paraId="3F426495">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5</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14:paraId="0A455C36">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院内医生站系统、药库药房改造</w:t>
            </w:r>
          </w:p>
        </w:tc>
        <w:tc>
          <w:tcPr>
            <w:tcW w:w="5364" w:type="dxa"/>
            <w:tcBorders>
              <w:top w:val="single" w:color="000000" w:sz="4" w:space="0"/>
              <w:left w:val="single" w:color="000000" w:sz="4" w:space="0"/>
              <w:bottom w:val="single" w:color="000000" w:sz="4" w:space="0"/>
              <w:right w:val="single" w:color="000000" w:sz="4" w:space="0"/>
            </w:tcBorders>
            <w:noWrap w:val="0"/>
            <w:vAlign w:val="center"/>
          </w:tcPr>
          <w:p w14:paraId="1FD328E1">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开发专门用于开具双通道药品处方的功能，维护双通道药品目录及匹配功能。</w:t>
            </w:r>
          </w:p>
        </w:tc>
      </w:tr>
      <w:tr w14:paraId="72B6D193">
        <w:tblPrEx>
          <w:tblCellMar>
            <w:top w:w="0" w:type="dxa"/>
            <w:left w:w="108" w:type="dxa"/>
            <w:bottom w:w="0" w:type="dxa"/>
            <w:right w:w="108" w:type="dxa"/>
          </w:tblCellMar>
        </w:tblPrEx>
        <w:trPr>
          <w:trHeight w:val="792" w:hRule="atLeast"/>
        </w:trPr>
        <w:tc>
          <w:tcPr>
            <w:tcW w:w="783" w:type="dxa"/>
            <w:tcBorders>
              <w:top w:val="single" w:color="000000" w:sz="4" w:space="0"/>
              <w:left w:val="single" w:color="000000" w:sz="4" w:space="0"/>
              <w:bottom w:val="single" w:color="000000" w:sz="4" w:space="0"/>
              <w:right w:val="single" w:color="000000" w:sz="4" w:space="0"/>
            </w:tcBorders>
            <w:noWrap/>
            <w:vAlign w:val="center"/>
          </w:tcPr>
          <w:p w14:paraId="6DF3B7E3">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7</w:t>
            </w:r>
          </w:p>
        </w:tc>
        <w:tc>
          <w:tcPr>
            <w:tcW w:w="2812" w:type="dxa"/>
            <w:tcBorders>
              <w:top w:val="single" w:color="000000" w:sz="4" w:space="0"/>
              <w:left w:val="single" w:color="000000" w:sz="4" w:space="0"/>
              <w:bottom w:val="single" w:color="000000" w:sz="4" w:space="0"/>
              <w:right w:val="single" w:color="000000" w:sz="4" w:space="0"/>
            </w:tcBorders>
            <w:noWrap w:val="0"/>
            <w:vAlign w:val="center"/>
          </w:tcPr>
          <w:p w14:paraId="1E60D535">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市直机关事业单位医疗保障定点医疗机构外配处方上传</w:t>
            </w:r>
          </w:p>
        </w:tc>
        <w:tc>
          <w:tcPr>
            <w:tcW w:w="5364" w:type="dxa"/>
            <w:tcBorders>
              <w:top w:val="single" w:color="000000" w:sz="4" w:space="0"/>
              <w:left w:val="single" w:color="000000" w:sz="4" w:space="0"/>
              <w:bottom w:val="single" w:color="000000" w:sz="4" w:space="0"/>
              <w:right w:val="single" w:color="000000" w:sz="4" w:space="0"/>
            </w:tcBorders>
            <w:noWrap w:val="0"/>
            <w:vAlign w:val="center"/>
          </w:tcPr>
          <w:p w14:paraId="7484B019">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市直医保外配处方上传：处方信息、门诊信息、诊断信息</w:t>
            </w:r>
          </w:p>
        </w:tc>
      </w:tr>
    </w:tbl>
    <w:p w14:paraId="1C1A6E2F">
      <w:pPr>
        <w:pStyle w:val="2"/>
        <w:rPr>
          <w:rFonts w:hint="eastAsia" w:ascii="仿宋" w:hAnsi="仿宋" w:eastAsia="仿宋" w:cs="仿宋"/>
          <w:sz w:val="28"/>
          <w:szCs w:val="28"/>
        </w:rPr>
      </w:pPr>
      <w:r>
        <w:rPr>
          <w:rFonts w:hint="eastAsia" w:ascii="仿宋" w:hAnsi="仿宋" w:eastAsia="仿宋" w:cs="仿宋"/>
          <w:sz w:val="28"/>
          <w:szCs w:val="28"/>
        </w:rPr>
        <w:t>详细技术要求参考《广州市医疗保险服务中心关于定点医疗机构试点开展广州市国家医保谈判药品“双通道”业务的通知》中的医疗保障信息平台定点医药机构接口规范（电子处方中心）</w:t>
      </w:r>
    </w:p>
    <w:p w14:paraId="38BC1F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3F070"/>
    <w:multiLevelType w:val="singleLevel"/>
    <w:tmpl w:val="E0E3F07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000000"/>
    <w:rsid w:val="041F40A1"/>
    <w:rsid w:val="35E46651"/>
    <w:rsid w:val="3C5264EE"/>
    <w:rsid w:val="49141A93"/>
    <w:rsid w:val="4A851D59"/>
    <w:rsid w:val="6F011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line="360" w:lineRule="auto"/>
    </w:pPr>
    <w:rPr>
      <w:szCs w:val="20"/>
    </w:rPr>
  </w:style>
  <w:style w:type="paragraph" w:styleId="3">
    <w:name w:val="Body Text First Indent"/>
    <w:basedOn w:val="2"/>
    <w:uiPriority w:val="0"/>
    <w:pPr>
      <w:spacing w:after="120" w:line="240" w:lineRule="auto"/>
      <w:ind w:firstLine="420" w:firstLineChars="100"/>
    </w:pPr>
    <w:rPr>
      <w:szCs w:val="24"/>
    </w:rPr>
  </w:style>
  <w:style w:type="character" w:styleId="6">
    <w:name w:val="annotation reference"/>
    <w:semiHidden/>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829</Words>
  <Characters>840</Characters>
  <Lines>0</Lines>
  <Paragraphs>0</Paragraphs>
  <TotalTime>0</TotalTime>
  <ScaleCrop>false</ScaleCrop>
  <LinksUpToDate>false</LinksUpToDate>
  <CharactersWithSpaces>841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2024-09-29T00:45:00Z</dcterms:created>
  <dc:creator>hongyi</dc:creator>
  <cp:lastModifiedBy>弘毅</cp:lastModifiedBy>
  <dcterms:modified xsi:type="dcterms:W3CDTF">2024-10-10T01:01:28Z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622FB27D8E634293BA9DBDDC227FA5B2_12</vt:lpwstr>
  </property>
</Properties>
</file>