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A3735">
      <w:pPr>
        <w:numPr>
          <w:ilvl w:val="0"/>
          <w:numId w:val="0"/>
        </w:numPr>
        <w:ind w:left="420" w:leftChars="0"/>
        <w:jc w:val="center"/>
        <w:rPr>
          <w:rFonts w:hint="default"/>
          <w:b/>
          <w:bCs/>
          <w:sz w:val="24"/>
          <w:szCs w:val="24"/>
          <w:lang w:val="en-US" w:eastAsia="zh-CN"/>
        </w:rPr>
      </w:pPr>
      <w:r>
        <w:rPr>
          <w:rFonts w:hint="eastAsia"/>
          <w:b/>
          <w:bCs/>
          <w:sz w:val="24"/>
          <w:szCs w:val="24"/>
          <w:lang w:val="en-US" w:eastAsia="zh-CN"/>
        </w:rPr>
        <w:t>采购需求书</w:t>
      </w:r>
    </w:p>
    <w:p w14:paraId="6F68691D">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项目名称</w:t>
      </w:r>
    </w:p>
    <w:p w14:paraId="64698F1F">
      <w:pPr>
        <w:numPr>
          <w:ilvl w:val="0"/>
          <w:numId w:val="0"/>
        </w:numPr>
        <w:ind w:left="420" w:leftChars="0"/>
        <w:rPr>
          <w:rFonts w:hint="default"/>
          <w:sz w:val="24"/>
          <w:szCs w:val="24"/>
          <w:lang w:val="en-US" w:eastAsia="zh-CN"/>
        </w:rPr>
      </w:pPr>
      <w:r>
        <w:rPr>
          <w:rFonts w:hint="eastAsia"/>
          <w:sz w:val="24"/>
          <w:szCs w:val="24"/>
          <w:lang w:val="en-US" w:eastAsia="zh-CN"/>
        </w:rPr>
        <w:t>门诊二楼妇科消防改造项目</w:t>
      </w:r>
    </w:p>
    <w:p w14:paraId="578E636F">
      <w:pPr>
        <w:rPr>
          <w:rFonts w:hint="eastAsia"/>
          <w:sz w:val="24"/>
          <w:szCs w:val="24"/>
          <w:lang w:val="en-US" w:eastAsia="zh-CN"/>
        </w:rPr>
      </w:pPr>
    </w:p>
    <w:p w14:paraId="6916D9EC">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参选人资格</w:t>
      </w:r>
    </w:p>
    <w:p w14:paraId="66146E8A">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1、参选人必须具备国内独立法人资格，持有合法的企业法人营业执照；</w:t>
      </w:r>
    </w:p>
    <w:p w14:paraId="473C2F5D">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2、通过“信用中国”网站、“中国政府采购网”查询的主体信用记录，参选人未被列入信用记录失信被执行人、重大税收违法案件当事人名单、政府采购严重违法失信行为记录名单。（提供查询截图）</w:t>
      </w:r>
    </w:p>
    <w:p w14:paraId="35D68ADE">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14:paraId="0B5FC414">
      <w:pPr>
        <w:adjustRightInd w:val="0"/>
        <w:snapToGrid w:val="0"/>
        <w:spacing w:line="300" w:lineRule="auto"/>
        <w:ind w:firstLine="420" w:firstLineChars="200"/>
        <w:rPr>
          <w:rFonts w:hint="eastAsia" w:ascii="Arial Unicode MS" w:hAnsi="Arial Unicode MS" w:cs="宋体"/>
          <w:sz w:val="21"/>
          <w:szCs w:val="21"/>
        </w:rPr>
      </w:pPr>
      <w:r>
        <w:rPr>
          <w:rFonts w:hint="eastAsia" w:ascii="Arial Unicode MS" w:hAnsi="Arial Unicode MS" w:cs="宋体"/>
          <w:sz w:val="21"/>
          <w:szCs w:val="21"/>
          <w:lang w:val="en-US" w:eastAsia="zh-CN"/>
        </w:rPr>
        <w:t xml:space="preserve">4、  </w:t>
      </w:r>
      <w:r>
        <w:rPr>
          <w:rFonts w:hint="eastAsia" w:ascii="Arial Unicode MS" w:hAnsi="Arial Unicode MS" w:cs="宋体"/>
          <w:sz w:val="21"/>
          <w:szCs w:val="21"/>
        </w:rPr>
        <w:t>供应商具有有效的消防设施工程专业承包资质（响应时需提供证书复印件，依法顺延的应提供相关说明材料）。</w:t>
      </w:r>
    </w:p>
    <w:p w14:paraId="0914E392">
      <w:pPr>
        <w:numPr>
          <w:ilvl w:val="0"/>
          <w:numId w:val="0"/>
        </w:numPr>
        <w:rPr>
          <w:rFonts w:hint="default"/>
          <w:sz w:val="24"/>
          <w:szCs w:val="24"/>
          <w:u w:val="single"/>
          <w:lang w:val="en-US" w:eastAsia="zh-CN"/>
        </w:rPr>
      </w:pPr>
    </w:p>
    <w:p w14:paraId="345B6FC9">
      <w:pPr>
        <w:rPr>
          <w:rFonts w:hint="eastAsia"/>
          <w:sz w:val="24"/>
          <w:szCs w:val="24"/>
          <w:lang w:val="en-US" w:eastAsia="zh-CN"/>
        </w:rPr>
      </w:pPr>
    </w:p>
    <w:p w14:paraId="4FEC206B">
      <w:pPr>
        <w:numPr>
          <w:ilvl w:val="0"/>
          <w:numId w:val="1"/>
        </w:numPr>
        <w:ind w:left="0" w:leftChars="0" w:firstLine="420" w:firstLineChars="0"/>
        <w:rPr>
          <w:rFonts w:hint="eastAsia"/>
          <w:b/>
          <w:bCs/>
          <w:sz w:val="24"/>
          <w:szCs w:val="24"/>
          <w:lang w:val="en-US" w:eastAsia="zh-CN"/>
        </w:rPr>
      </w:pPr>
      <w:r>
        <w:rPr>
          <w:rFonts w:hint="eastAsia"/>
          <w:b/>
          <w:bCs/>
          <w:sz w:val="24"/>
          <w:szCs w:val="24"/>
          <w:lang w:val="en-US" w:eastAsia="zh-CN"/>
        </w:rPr>
        <w:t>项目需求（以下内容仅为参考，具体事宜可以与招标办人员沟通）</w:t>
      </w:r>
    </w:p>
    <w:p w14:paraId="6C5A60D8">
      <w:pPr>
        <w:numPr>
          <w:ilvl w:val="0"/>
          <w:numId w:val="0"/>
        </w:numPr>
        <w:ind w:leftChars="0"/>
        <w:rPr>
          <w:rFonts w:hint="eastAsia"/>
          <w:sz w:val="24"/>
          <w:szCs w:val="24"/>
          <w:lang w:val="en-US" w:eastAsia="zh-CN"/>
        </w:rPr>
      </w:pPr>
    </w:p>
    <w:p w14:paraId="53354E5F">
      <w:pPr>
        <w:numPr>
          <w:ilvl w:val="0"/>
          <w:numId w:val="2"/>
        </w:numPr>
        <w:ind w:left="425" w:leftChars="0" w:hanging="425" w:firstLineChars="0"/>
        <w:rPr>
          <w:rFonts w:hint="eastAsia"/>
          <w:sz w:val="24"/>
          <w:szCs w:val="24"/>
          <w:lang w:val="en-US" w:eastAsia="zh-CN"/>
        </w:rPr>
      </w:pPr>
      <w:r>
        <w:rPr>
          <w:rFonts w:hint="eastAsia"/>
          <w:sz w:val="24"/>
          <w:szCs w:val="24"/>
          <w:lang w:val="en-US" w:eastAsia="zh-CN"/>
        </w:rPr>
        <w:t>项目内容：对二楼妇科改造工程区域的消防设施进行改造和增加消防设备。</w:t>
      </w:r>
    </w:p>
    <w:tbl>
      <w:tblPr>
        <w:tblStyle w:val="2"/>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026"/>
        <w:gridCol w:w="1867"/>
        <w:gridCol w:w="1966"/>
      </w:tblGrid>
      <w:tr w14:paraId="5DE49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6" w:type="dxa"/>
            <w:noWrap w:val="0"/>
            <w:vAlign w:val="top"/>
          </w:tcPr>
          <w:p w14:paraId="44157014">
            <w:pPr>
              <w:adjustRightInd w:val="0"/>
              <w:snapToGrid w:val="0"/>
              <w:spacing w:line="300" w:lineRule="auto"/>
              <w:ind w:firstLine="480" w:firstLineChars="200"/>
              <w:jc w:val="center"/>
              <w:rPr>
                <w:rFonts w:hint="eastAsia" w:ascii="Arial Unicode MS" w:hAnsi="Arial Unicode MS" w:cs="宋体"/>
                <w:sz w:val="24"/>
                <w:szCs w:val="24"/>
              </w:rPr>
            </w:pPr>
            <w:r>
              <w:rPr>
                <w:rFonts w:hint="eastAsia" w:ascii="Arial Unicode MS" w:hAnsi="Arial Unicode MS" w:cs="宋体"/>
                <w:sz w:val="24"/>
                <w:szCs w:val="24"/>
              </w:rPr>
              <w:t>采购标的</w:t>
            </w:r>
          </w:p>
        </w:tc>
        <w:tc>
          <w:tcPr>
            <w:tcW w:w="1867" w:type="dxa"/>
            <w:noWrap w:val="0"/>
            <w:vAlign w:val="top"/>
          </w:tcPr>
          <w:p w14:paraId="1677F4AA">
            <w:pPr>
              <w:adjustRightInd w:val="0"/>
              <w:snapToGrid w:val="0"/>
              <w:spacing w:line="300" w:lineRule="auto"/>
              <w:jc w:val="center"/>
              <w:rPr>
                <w:rFonts w:hint="eastAsia" w:ascii="Arial Unicode MS" w:hAnsi="Arial Unicode MS" w:cs="宋体"/>
                <w:sz w:val="24"/>
                <w:szCs w:val="24"/>
              </w:rPr>
            </w:pPr>
            <w:r>
              <w:rPr>
                <w:rFonts w:hint="eastAsia" w:ascii="Arial Unicode MS" w:hAnsi="Arial Unicode MS" w:cs="宋体"/>
                <w:sz w:val="24"/>
                <w:szCs w:val="24"/>
              </w:rPr>
              <w:t>数量（单位）</w:t>
            </w:r>
          </w:p>
        </w:tc>
        <w:tc>
          <w:tcPr>
            <w:tcW w:w="1966" w:type="dxa"/>
            <w:noWrap w:val="0"/>
            <w:vAlign w:val="top"/>
          </w:tcPr>
          <w:p w14:paraId="5CAE0C09">
            <w:pPr>
              <w:adjustRightInd w:val="0"/>
              <w:snapToGrid w:val="0"/>
              <w:spacing w:line="300" w:lineRule="auto"/>
              <w:jc w:val="center"/>
              <w:rPr>
                <w:rFonts w:hint="eastAsia" w:ascii="Arial Unicode MS" w:hAnsi="Arial Unicode MS" w:cs="宋体"/>
                <w:sz w:val="24"/>
                <w:szCs w:val="24"/>
              </w:rPr>
            </w:pPr>
            <w:r>
              <w:rPr>
                <w:rFonts w:hint="eastAsia" w:ascii="Arial Unicode MS" w:hAnsi="Arial Unicode MS" w:cs="宋体"/>
                <w:sz w:val="24"/>
                <w:szCs w:val="24"/>
              </w:rPr>
              <w:t>预算(元)</w:t>
            </w:r>
          </w:p>
        </w:tc>
      </w:tr>
      <w:tr w14:paraId="23495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26" w:type="dxa"/>
            <w:noWrap w:val="0"/>
            <w:vAlign w:val="top"/>
          </w:tcPr>
          <w:p w14:paraId="5645889A">
            <w:pPr>
              <w:adjustRightInd w:val="0"/>
              <w:snapToGrid w:val="0"/>
              <w:spacing w:line="300" w:lineRule="auto"/>
              <w:ind w:firstLine="480" w:firstLineChars="200"/>
              <w:jc w:val="center"/>
              <w:rPr>
                <w:rFonts w:hint="eastAsia" w:ascii="Arial Unicode MS" w:hAnsi="Arial Unicode MS" w:cs="宋体"/>
                <w:sz w:val="24"/>
                <w:szCs w:val="24"/>
              </w:rPr>
            </w:pPr>
            <w:r>
              <w:rPr>
                <w:rFonts w:hint="eastAsia"/>
                <w:sz w:val="24"/>
                <w:szCs w:val="24"/>
                <w:lang w:val="en-US" w:eastAsia="zh-CN"/>
              </w:rPr>
              <w:t>门诊二楼妇科消防改造项目</w:t>
            </w:r>
          </w:p>
        </w:tc>
        <w:tc>
          <w:tcPr>
            <w:tcW w:w="1867" w:type="dxa"/>
            <w:noWrap w:val="0"/>
            <w:vAlign w:val="top"/>
          </w:tcPr>
          <w:p w14:paraId="191B9DF6">
            <w:pPr>
              <w:adjustRightInd w:val="0"/>
              <w:snapToGrid w:val="0"/>
              <w:spacing w:line="300" w:lineRule="auto"/>
              <w:ind w:firstLine="480" w:firstLineChars="200"/>
              <w:jc w:val="center"/>
              <w:rPr>
                <w:rFonts w:hint="eastAsia" w:ascii="Arial Unicode MS" w:hAnsi="Arial Unicode MS" w:cs="宋体" w:eastAsiaTheme="minorEastAsia"/>
                <w:sz w:val="24"/>
                <w:szCs w:val="24"/>
                <w:lang w:val="en-US" w:eastAsia="zh-CN"/>
              </w:rPr>
            </w:pPr>
            <w:r>
              <w:rPr>
                <w:rFonts w:hint="eastAsia" w:ascii="Arial Unicode MS" w:hAnsi="Arial Unicode MS" w:cs="宋体"/>
                <w:sz w:val="24"/>
                <w:szCs w:val="24"/>
                <w:lang w:val="en-US" w:eastAsia="zh-CN"/>
              </w:rPr>
              <w:t>1</w:t>
            </w:r>
          </w:p>
        </w:tc>
        <w:tc>
          <w:tcPr>
            <w:tcW w:w="1966" w:type="dxa"/>
            <w:noWrap w:val="0"/>
            <w:vAlign w:val="top"/>
          </w:tcPr>
          <w:p w14:paraId="26610DC4">
            <w:pPr>
              <w:adjustRightInd w:val="0"/>
              <w:snapToGrid w:val="0"/>
              <w:spacing w:line="300" w:lineRule="auto"/>
              <w:jc w:val="center"/>
              <w:rPr>
                <w:rFonts w:hint="default" w:ascii="Arial Unicode MS" w:hAnsi="Arial Unicode MS" w:cs="宋体" w:eastAsiaTheme="minorEastAsia"/>
                <w:sz w:val="24"/>
                <w:szCs w:val="24"/>
                <w:lang w:val="en-US" w:eastAsia="zh-CN"/>
              </w:rPr>
            </w:pPr>
            <w:r>
              <w:rPr>
                <w:rFonts w:hint="eastAsia" w:ascii="Arial Unicode MS" w:hAnsi="Arial Unicode MS" w:cs="宋体"/>
                <w:sz w:val="24"/>
                <w:szCs w:val="24"/>
                <w:lang w:val="en-US" w:eastAsia="zh-CN"/>
              </w:rPr>
              <w:t>43178</w:t>
            </w:r>
          </w:p>
        </w:tc>
      </w:tr>
    </w:tbl>
    <w:p w14:paraId="5CC58073">
      <w:pPr>
        <w:numPr>
          <w:ilvl w:val="0"/>
          <w:numId w:val="0"/>
        </w:numPr>
        <w:rPr>
          <w:rFonts w:hint="default"/>
          <w:sz w:val="24"/>
          <w:szCs w:val="24"/>
          <w:lang w:val="en-US" w:eastAsia="zh-CN"/>
        </w:rPr>
      </w:pPr>
    </w:p>
    <w:p w14:paraId="69E9AAA3">
      <w:pPr>
        <w:numPr>
          <w:ilvl w:val="0"/>
          <w:numId w:val="0"/>
        </w:numPr>
        <w:rPr>
          <w:rFonts w:hint="default"/>
          <w:sz w:val="24"/>
          <w:szCs w:val="24"/>
          <w:lang w:val="en-US" w:eastAsia="zh-CN"/>
        </w:rPr>
      </w:pPr>
    </w:p>
    <w:p w14:paraId="63B1DF7B">
      <w:pPr>
        <w:numPr>
          <w:ilvl w:val="0"/>
          <w:numId w:val="0"/>
        </w:numPr>
        <w:rPr>
          <w:rFonts w:hint="default"/>
          <w:sz w:val="24"/>
          <w:szCs w:val="24"/>
          <w:lang w:val="en-US" w:eastAsia="zh-CN"/>
        </w:rPr>
      </w:pPr>
    </w:p>
    <w:p w14:paraId="4F869931">
      <w:pPr>
        <w:numPr>
          <w:ilvl w:val="0"/>
          <w:numId w:val="0"/>
        </w:numPr>
        <w:rPr>
          <w:rFonts w:hint="default"/>
          <w:sz w:val="24"/>
          <w:szCs w:val="24"/>
          <w:lang w:val="en-US" w:eastAsia="zh-CN"/>
        </w:rPr>
      </w:pPr>
    </w:p>
    <w:p w14:paraId="712919E6">
      <w:pPr>
        <w:numPr>
          <w:ilvl w:val="0"/>
          <w:numId w:val="0"/>
        </w:numPr>
        <w:rPr>
          <w:rFonts w:hint="default"/>
          <w:sz w:val="24"/>
          <w:szCs w:val="24"/>
          <w:lang w:val="en-US" w:eastAsia="zh-CN"/>
        </w:rPr>
      </w:pPr>
    </w:p>
    <w:p w14:paraId="3292BB9F">
      <w:pPr>
        <w:numPr>
          <w:ilvl w:val="0"/>
          <w:numId w:val="0"/>
        </w:numPr>
        <w:rPr>
          <w:rFonts w:hint="default"/>
          <w:sz w:val="24"/>
          <w:szCs w:val="24"/>
          <w:lang w:val="en-US" w:eastAsia="zh-CN"/>
        </w:rPr>
      </w:pPr>
    </w:p>
    <w:p w14:paraId="479911FB">
      <w:pPr>
        <w:spacing w:line="360" w:lineRule="auto"/>
        <w:rPr>
          <w:b/>
          <w:bCs/>
        </w:rPr>
      </w:pPr>
      <w:r>
        <w:rPr>
          <w:rFonts w:hint="eastAsia"/>
          <w:b/>
          <w:bCs/>
        </w:rPr>
        <w:t>（</w:t>
      </w:r>
      <w:r>
        <w:rPr>
          <w:rFonts w:hint="eastAsia"/>
          <w:b/>
          <w:bCs/>
          <w:lang w:val="en-US" w:eastAsia="zh-CN"/>
        </w:rPr>
        <w:t>二</w:t>
      </w:r>
      <w:r>
        <w:rPr>
          <w:rFonts w:hint="eastAsia"/>
          <w:b/>
          <w:bCs/>
        </w:rPr>
        <w:t>）技术（服务）要求</w:t>
      </w:r>
    </w:p>
    <w:p w14:paraId="56539676">
      <w:pPr>
        <w:widowControl w:val="0"/>
        <w:spacing w:line="360" w:lineRule="auto"/>
        <w:ind w:left="13" w:leftChars="6" w:firstLine="405" w:firstLineChars="193"/>
        <w:rPr>
          <w:rFonts w:ascii="宋体"/>
          <w:color w:val="000000"/>
          <w:szCs w:val="21"/>
        </w:rPr>
      </w:pPr>
      <w:r>
        <w:rPr>
          <w:rFonts w:hint="eastAsia" w:ascii="宋体"/>
          <w:color w:val="000000"/>
          <w:szCs w:val="21"/>
        </w:rPr>
        <w:t>具体以施工图纸及工程量清单为准。</w:t>
      </w:r>
    </w:p>
    <w:p w14:paraId="5FC00342">
      <w:pPr>
        <w:spacing w:line="360" w:lineRule="auto"/>
        <w:rPr>
          <w:b/>
          <w:bCs/>
        </w:rPr>
      </w:pPr>
      <w:r>
        <w:rPr>
          <w:rFonts w:hint="eastAsia"/>
          <w:b/>
          <w:bCs/>
        </w:rPr>
        <w:t>（</w:t>
      </w:r>
      <w:r>
        <w:rPr>
          <w:rFonts w:hint="eastAsia"/>
          <w:b/>
          <w:bCs/>
          <w:lang w:val="en-US" w:eastAsia="zh-CN"/>
        </w:rPr>
        <w:t>三</w:t>
      </w:r>
      <w:r>
        <w:rPr>
          <w:rFonts w:hint="eastAsia"/>
          <w:b/>
          <w:bCs/>
        </w:rPr>
        <w:t>）商务要求</w:t>
      </w:r>
    </w:p>
    <w:p w14:paraId="6449E55F">
      <w:pPr>
        <w:spacing w:line="360" w:lineRule="auto"/>
      </w:pPr>
      <w:r>
        <w:rPr>
          <w:rFonts w:hint="eastAsia"/>
        </w:rPr>
        <w:t>1、工期要求：</w:t>
      </w:r>
    </w:p>
    <w:p w14:paraId="25A35BCF">
      <w:pPr>
        <w:widowControl w:val="0"/>
        <w:spacing w:line="360" w:lineRule="auto"/>
        <w:ind w:left="13" w:leftChars="6" w:firstLine="405" w:firstLineChars="193"/>
      </w:pPr>
      <w:r>
        <w:rPr>
          <w:rFonts w:hint="eastAsia" w:ascii="宋体"/>
          <w:color w:val="000000"/>
          <w:szCs w:val="21"/>
        </w:rPr>
        <w:t>工期</w:t>
      </w:r>
      <w:r>
        <w:rPr>
          <w:rFonts w:hint="eastAsia" w:ascii="宋体"/>
          <w:color w:val="000000"/>
          <w:szCs w:val="21"/>
          <w:highlight w:val="yellow"/>
          <w:lang w:val="en-US" w:eastAsia="zh-CN"/>
        </w:rPr>
        <w:t>10</w:t>
      </w:r>
      <w:r>
        <w:rPr>
          <w:rFonts w:hint="eastAsia" w:ascii="宋体"/>
          <w:color w:val="000000"/>
          <w:szCs w:val="21"/>
        </w:rPr>
        <w:t>日历天，具体工期计算以开工报告和竣工验收报告为准。</w:t>
      </w:r>
    </w:p>
    <w:p w14:paraId="0705E880">
      <w:pPr>
        <w:spacing w:line="360" w:lineRule="auto"/>
      </w:pPr>
      <w:r>
        <w:rPr>
          <w:rFonts w:hint="eastAsia"/>
        </w:rPr>
        <w:t>2、承包方式：</w:t>
      </w:r>
    </w:p>
    <w:p w14:paraId="31E90EDD">
      <w:pPr>
        <w:pStyle w:val="4"/>
        <w:jc w:val="left"/>
      </w:pPr>
      <w:r>
        <w:rPr>
          <w:sz w:val="21"/>
        </w:rPr>
        <w:t>响应价格为总价包干，包括但不限于深化设计及相关预算编制、人工、材料、设备机械、管理费、措施项目费、其他项目费、规费、税金、安全生产措施费、材料检验费、利润、保险、政策性文件规定及合同包含的所有风险、责任等各项应有费用（包括人工、材料、机械等上涨风险费用）。</w:t>
      </w:r>
      <w:r>
        <w:rPr>
          <w:rFonts w:hint="eastAsia"/>
          <w:sz w:val="21"/>
          <w:lang w:val="en-US" w:eastAsia="zh-CN"/>
        </w:rPr>
        <w:t>响应</w:t>
      </w:r>
      <w:r>
        <w:rPr>
          <w:sz w:val="21"/>
        </w:rPr>
        <w:t>报价还包括跟本项目有关与各级政府管理部门的沟通协调、办理施工许可等证所需费用、临时水电接驳费、临时道路修建费、预留金等，即从开工直至通过采购人验收，交付使用全过程中的应预见和不可预见费用等全部费用。</w:t>
      </w:r>
    </w:p>
    <w:p w14:paraId="0FE27F3A">
      <w:pPr>
        <w:spacing w:line="360" w:lineRule="auto"/>
      </w:pPr>
      <w:r>
        <w:rPr>
          <w:rFonts w:hint="eastAsia"/>
        </w:rPr>
        <w:t>3、</w:t>
      </w:r>
      <w:r>
        <w:rPr>
          <w:rFonts w:hint="eastAsia" w:ascii="宋体"/>
          <w:szCs w:val="21"/>
        </w:rPr>
        <w:t>支付方式：</w:t>
      </w:r>
    </w:p>
    <w:p w14:paraId="7F3797CD">
      <w:pPr>
        <w:spacing w:line="360" w:lineRule="auto"/>
        <w:ind w:firstLine="420" w:firstLineChars="200"/>
      </w:pPr>
      <w:r>
        <w:rPr>
          <w:rFonts w:hint="eastAsia"/>
        </w:rPr>
        <w:t xml:space="preserve">（1）签订合同并实际进场后，施工单位提交请款申请文件和发票，申请预付合同总价30%(不含暂列金、暂估价)的工程备料款； </w:t>
      </w:r>
    </w:p>
    <w:p w14:paraId="12C79B78">
      <w:pPr>
        <w:spacing w:line="360" w:lineRule="auto"/>
        <w:ind w:firstLine="420" w:firstLineChars="200"/>
      </w:pPr>
      <w:r>
        <w:rPr>
          <w:rFonts w:hint="eastAsia"/>
        </w:rPr>
        <w:t>（2）工程进度达到100%，递交完整的工程施工及验收资料，竣工验收合格，施工单位提交请款申请文件和发票，申请付款至合同内容总价的</w:t>
      </w:r>
      <w:r>
        <w:rPr>
          <w:rFonts w:hint="eastAsia"/>
          <w:lang w:val="en-US" w:eastAsia="zh-CN"/>
        </w:rPr>
        <w:t>100</w:t>
      </w:r>
      <w:r>
        <w:rPr>
          <w:rFonts w:hint="eastAsia"/>
        </w:rPr>
        <w:t>%(不含暂列金暂估价)；</w:t>
      </w:r>
    </w:p>
    <w:p w14:paraId="385044F5">
      <w:pPr>
        <w:spacing w:line="360" w:lineRule="auto"/>
        <w:ind w:firstLine="420" w:firstLineChars="200"/>
      </w:pPr>
      <w:r>
        <w:rPr>
          <w:rFonts w:hint="eastAsia"/>
        </w:rPr>
        <w:t>（</w:t>
      </w:r>
      <w:r>
        <w:rPr>
          <w:rFonts w:hint="eastAsia"/>
          <w:lang w:val="en-US" w:eastAsia="zh-CN"/>
        </w:rPr>
        <w:t>3</w:t>
      </w:r>
      <w:r>
        <w:rPr>
          <w:rFonts w:hint="eastAsia"/>
        </w:rPr>
        <w:t>）每次支付工程款需凭税务发票支付</w:t>
      </w:r>
      <w:r>
        <w:rPr>
          <w:rFonts w:hint="eastAsia"/>
          <w:lang w:eastAsia="zh-CN"/>
        </w:rPr>
        <w:t>，</w:t>
      </w:r>
      <w:r>
        <w:rPr>
          <w:rFonts w:hint="eastAsia"/>
          <w:highlight w:val="yellow"/>
          <w:lang w:val="en-US" w:eastAsia="zh-CN"/>
        </w:rPr>
        <w:t>院方在收到发票之后30个工作日之内支付</w:t>
      </w:r>
      <w:r>
        <w:rPr>
          <w:rFonts w:hint="eastAsia"/>
          <w:highlight w:val="yellow"/>
        </w:rPr>
        <w:t>。</w:t>
      </w:r>
    </w:p>
    <w:p w14:paraId="7A724883">
      <w:pPr>
        <w:spacing w:line="360" w:lineRule="auto"/>
        <w:ind w:firstLine="420" w:firstLineChars="200"/>
      </w:pPr>
      <w:r>
        <w:rPr>
          <w:rFonts w:hint="eastAsia"/>
        </w:rPr>
        <w:t>注：对结算审减率超过5%（不含）的项目，所发生的审核费用由施工单位支付。</w:t>
      </w:r>
    </w:p>
    <w:p w14:paraId="0D54BDCF">
      <w:pPr>
        <w:spacing w:line="360" w:lineRule="auto"/>
        <w:ind w:firstLine="420" w:firstLineChars="200"/>
      </w:pPr>
    </w:p>
    <w:p w14:paraId="07025730">
      <w:pPr>
        <w:spacing w:line="360" w:lineRule="auto"/>
      </w:pPr>
      <w:r>
        <w:rPr>
          <w:rFonts w:hint="eastAsia"/>
        </w:rPr>
        <w:t>4、</w:t>
      </w:r>
      <w:r>
        <w:rPr>
          <w:rFonts w:hint="eastAsia" w:ascii="宋体"/>
          <w:color w:val="000000"/>
          <w:szCs w:val="21"/>
        </w:rPr>
        <w:t>售后服务：</w:t>
      </w:r>
    </w:p>
    <w:p w14:paraId="566D5AE2">
      <w:pPr>
        <w:spacing w:line="360" w:lineRule="auto"/>
        <w:ind w:firstLine="420" w:firstLineChars="200"/>
        <w:jc w:val="left"/>
      </w:pPr>
      <w:r>
        <w:rPr>
          <w:rFonts w:hint="eastAsia"/>
        </w:rPr>
        <w:t>（1）</w:t>
      </w:r>
      <w:r>
        <w:t>工程质量保修范围和内容</w:t>
      </w:r>
    </w:p>
    <w:p w14:paraId="6473916C">
      <w:pPr>
        <w:spacing w:line="360" w:lineRule="auto"/>
        <w:ind w:firstLine="420" w:firstLineChars="200"/>
        <w:jc w:val="left"/>
      </w:pPr>
      <w:r>
        <w:t>成交人在质量保修期内，按照有关法律规定和合同约定，承担工程质量保修责任。</w:t>
      </w:r>
    </w:p>
    <w:p w14:paraId="69CC4909">
      <w:pPr>
        <w:spacing w:line="360" w:lineRule="auto"/>
        <w:ind w:firstLine="420" w:firstLineChars="200"/>
        <w:jc w:val="left"/>
      </w:pPr>
      <w:r>
        <w:t>质量保修范围包括消防电气管线、消防给排水管道、火灾自动报警设备，以及双方约定的其他项目。具体保修的内容，双方约定如下：所有承包范围内的工程均属保修范围。</w:t>
      </w:r>
    </w:p>
    <w:p w14:paraId="05894EEC">
      <w:pPr>
        <w:spacing w:line="360" w:lineRule="auto"/>
        <w:ind w:firstLine="420" w:firstLineChars="200"/>
        <w:jc w:val="left"/>
      </w:pPr>
      <w:r>
        <w:rPr>
          <w:rFonts w:hint="eastAsia"/>
        </w:rPr>
        <w:t>（2）</w:t>
      </w:r>
      <w:r>
        <w:t>质量保修期</w:t>
      </w:r>
    </w:p>
    <w:p w14:paraId="25152F5D">
      <w:pPr>
        <w:spacing w:line="360" w:lineRule="auto"/>
        <w:ind w:firstLine="420" w:firstLineChars="200"/>
        <w:jc w:val="left"/>
      </w:pPr>
      <w:r>
        <w:t>根据《建设工程质量管理条例》及有关规定，工程的质量保修期为 2 年。</w:t>
      </w:r>
    </w:p>
    <w:p w14:paraId="5B69B470">
      <w:pPr>
        <w:spacing w:line="360" w:lineRule="auto"/>
        <w:ind w:firstLine="420" w:firstLineChars="200"/>
        <w:jc w:val="left"/>
      </w:pPr>
      <w:r>
        <w:rPr>
          <w:rFonts w:hint="eastAsia"/>
        </w:rPr>
        <w:t>（</w:t>
      </w:r>
      <w:r>
        <w:rPr>
          <w:rFonts w:hint="eastAsia"/>
          <w:lang w:val="en-US" w:eastAsia="zh-CN"/>
        </w:rPr>
        <w:t>3</w:t>
      </w:r>
      <w:r>
        <w:rPr>
          <w:rFonts w:hint="eastAsia"/>
        </w:rPr>
        <w:t>）</w:t>
      </w:r>
      <w:r>
        <w:t>质量保修责任</w:t>
      </w:r>
    </w:p>
    <w:p w14:paraId="03380801">
      <w:pPr>
        <w:spacing w:line="360" w:lineRule="auto"/>
        <w:ind w:firstLine="420" w:firstLineChars="200"/>
        <w:jc w:val="left"/>
      </w:pPr>
      <w:r>
        <w:t>属于保修范围、内容的项目，成交人应当在接到保修通知之日起</w:t>
      </w:r>
      <w:r>
        <w:rPr>
          <w:rFonts w:hint="eastAsia"/>
          <w:highlight w:val="yellow"/>
          <w:lang w:val="en-US" w:eastAsia="zh-CN"/>
        </w:rPr>
        <w:t>24小时</w:t>
      </w:r>
      <w:r>
        <w:t>内派人保修。成交人不在约定期限内派人保修的，采购人可以委托他人修理。</w:t>
      </w:r>
    </w:p>
    <w:p w14:paraId="26D39F31">
      <w:pPr>
        <w:spacing w:line="360" w:lineRule="auto"/>
        <w:ind w:firstLine="420" w:firstLineChars="200"/>
        <w:jc w:val="left"/>
      </w:pPr>
      <w:r>
        <w:t>发生紧急事故需抢修的，成交人在接到事故通知后，应当立即到达事故现场抢修。</w:t>
      </w:r>
    </w:p>
    <w:p w14:paraId="4D95C8C7">
      <w:pPr>
        <w:spacing w:line="360" w:lineRule="auto"/>
        <w:ind w:firstLine="420" w:firstLineChars="200"/>
        <w:jc w:val="left"/>
      </w:pPr>
      <w:r>
        <w:rPr>
          <w:rFonts w:hint="eastAsia"/>
        </w:rPr>
        <w:t>（</w:t>
      </w:r>
      <w:r>
        <w:rPr>
          <w:rFonts w:hint="eastAsia"/>
          <w:lang w:val="en-US" w:eastAsia="zh-CN"/>
        </w:rPr>
        <w:t>4</w:t>
      </w:r>
      <w:r>
        <w:rPr>
          <w:rFonts w:hint="eastAsia"/>
        </w:rPr>
        <w:t>）</w:t>
      </w:r>
      <w:r>
        <w:t>保修费用</w:t>
      </w:r>
    </w:p>
    <w:p w14:paraId="637CE917">
      <w:pPr>
        <w:spacing w:line="360" w:lineRule="auto"/>
        <w:ind w:firstLine="420" w:firstLineChars="200"/>
        <w:jc w:val="left"/>
      </w:pPr>
      <w:r>
        <w:t>保修费用由造成质量缺陷的责任方承担。</w:t>
      </w:r>
    </w:p>
    <w:p w14:paraId="7EF9F661">
      <w:pPr>
        <w:spacing w:line="360" w:lineRule="auto"/>
      </w:pPr>
    </w:p>
    <w:p w14:paraId="71FF2F5A">
      <w:pPr>
        <w:spacing w:line="360" w:lineRule="auto"/>
      </w:pPr>
      <w:r>
        <w:rPr>
          <w:rFonts w:hint="eastAsia"/>
        </w:rPr>
        <w:t>6、其他要求：</w:t>
      </w:r>
    </w:p>
    <w:p w14:paraId="65C87A04">
      <w:pPr>
        <w:spacing w:line="360" w:lineRule="auto"/>
        <w:ind w:firstLine="420" w:firstLineChars="200"/>
      </w:pPr>
      <w:r>
        <w:rPr>
          <w:rFonts w:hint="eastAsia"/>
        </w:rPr>
        <w:t>供应商严格遵守《医院外来施工</w:t>
      </w:r>
      <w:r>
        <w:rPr>
          <w:rFonts w:hint="eastAsia"/>
          <w:lang w:eastAsia="zh-CN"/>
        </w:rPr>
        <w:t>、</w:t>
      </w:r>
      <w:r>
        <w:rPr>
          <w:rFonts w:hint="eastAsia"/>
          <w:lang w:val="en-US" w:eastAsia="zh-CN"/>
        </w:rPr>
        <w:t>维修（护）</w:t>
      </w:r>
      <w:r>
        <w:rPr>
          <w:rFonts w:hint="eastAsia"/>
        </w:rPr>
        <w:t>管理</w:t>
      </w:r>
      <w:r>
        <w:rPr>
          <w:rFonts w:hint="eastAsia"/>
          <w:lang w:val="en-US" w:eastAsia="zh-CN"/>
        </w:rPr>
        <w:t>规定</w:t>
      </w:r>
      <w:r>
        <w:rPr>
          <w:rFonts w:hint="eastAsia"/>
        </w:rPr>
        <w:t>》规定。</w:t>
      </w:r>
    </w:p>
    <w:p w14:paraId="29716147">
      <w:pPr>
        <w:numPr>
          <w:ilvl w:val="0"/>
          <w:numId w:val="0"/>
        </w:numPr>
        <w:rPr>
          <w:rFonts w:hint="eastAsia"/>
          <w:sz w:val="24"/>
          <w:szCs w:val="24"/>
          <w:lang w:val="en-US" w:eastAsia="zh-CN"/>
        </w:rPr>
      </w:pPr>
    </w:p>
    <w:p w14:paraId="07627D36">
      <w:pPr>
        <w:numPr>
          <w:ilvl w:val="0"/>
          <w:numId w:val="0"/>
        </w:numPr>
        <w:ind w:left="420" w:leftChars="0"/>
        <w:rPr>
          <w:rFonts w:hint="eastAsia"/>
          <w:sz w:val="24"/>
          <w:szCs w:val="24"/>
          <w:lang w:val="en-US" w:eastAsia="zh-CN"/>
        </w:rPr>
      </w:pPr>
    </w:p>
    <w:p w14:paraId="4A735593">
      <w:pPr>
        <w:numPr>
          <w:ilvl w:val="0"/>
          <w:numId w:val="0"/>
        </w:numPr>
        <w:ind w:left="420" w:leftChars="0"/>
        <w:rPr>
          <w:rFonts w:hint="eastAsia"/>
          <w:b/>
          <w:bCs/>
          <w:sz w:val="24"/>
          <w:szCs w:val="24"/>
          <w:lang w:val="en-US" w:eastAsia="zh-CN"/>
        </w:rPr>
      </w:pPr>
    </w:p>
    <w:p w14:paraId="35154009">
      <w:pPr>
        <w:numPr>
          <w:ilvl w:val="0"/>
          <w:numId w:val="0"/>
        </w:numPr>
        <w:rPr>
          <w:rFonts w:hint="eastAsia"/>
          <w:sz w:val="24"/>
          <w:szCs w:val="24"/>
          <w:lang w:val="en-US" w:eastAsia="zh-CN"/>
        </w:rPr>
      </w:pPr>
    </w:p>
    <w:p w14:paraId="484DD5F8">
      <w:pPr>
        <w:numPr>
          <w:ilvl w:val="0"/>
          <w:numId w:val="0"/>
        </w:numPr>
        <w:ind w:left="420" w:leftChars="0"/>
        <w:rPr>
          <w:rFonts w:hint="eastAsia"/>
          <w:sz w:val="24"/>
          <w:szCs w:val="24"/>
          <w:lang w:val="en-US" w:eastAsia="zh-CN"/>
        </w:rPr>
      </w:pPr>
    </w:p>
    <w:p w14:paraId="6A7751F9">
      <w:pPr>
        <w:rPr>
          <w:rFonts w:hint="default"/>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Mjc0NWZhMDBiYWQxMzQ0MGM0M2JjNDdhY2VjOGMifQ=="/>
  </w:docVars>
  <w:rsids>
    <w:rsidRoot w:val="00000000"/>
    <w:rsid w:val="01FA6A1F"/>
    <w:rsid w:val="2CE118AF"/>
    <w:rsid w:val="399B34CA"/>
    <w:rsid w:val="3A345F6B"/>
    <w:rsid w:val="45473E04"/>
    <w:rsid w:val="51554470"/>
    <w:rsid w:val="526E02AD"/>
    <w:rsid w:val="574B2335"/>
    <w:rsid w:val="5E02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1342</Words>
  <Characters>1442</Characters>
  <Lines>0</Lines>
  <Paragraphs>0</Paragraphs>
  <TotalTime>3</TotalTime>
  <ScaleCrop>false</ScaleCrop>
  <LinksUpToDate>false</LinksUpToDate>
  <CharactersWithSpaces>1447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2024-06-06T06:50:00Z</dcterms:created>
  <dc:creator>DELL</dc:creator>
  <cp:lastModifiedBy>巾凡</cp:lastModifiedBy>
  <dcterms:modified xsi:type="dcterms:W3CDTF">2024-09-19T15:31:37Z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BDC5368D3C364C2FB693CD085A462530_13</vt:lpwstr>
  </property>
</Properties>
</file>