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51" w:firstLineChars="200"/>
        <w:jc w:val="center"/>
        <w:rPr>
          <w:rFonts w:hint="eastAsia" w:ascii="宋体" w:hAnsi="宋体" w:eastAsia="宋体" w:cs="宋体"/>
          <w:b/>
          <w:bCs/>
          <w:snapToGrid w:val="0"/>
          <w:color w:val="000000"/>
          <w:spacing w:val="2"/>
          <w:kern w:val="0"/>
          <w:sz w:val="32"/>
          <w:szCs w:val="32"/>
          <w:lang w:val="en-US" w:eastAsia="zh-CN" w:bidi="ar-SA"/>
        </w:rPr>
      </w:pPr>
      <w:r>
        <w:rPr>
          <w:rFonts w:hint="eastAsia" w:ascii="宋体" w:hAnsi="宋体" w:eastAsia="宋体" w:cs="宋体"/>
          <w:b/>
          <w:bCs/>
          <w:snapToGrid w:val="0"/>
          <w:color w:val="000000"/>
          <w:spacing w:val="2"/>
          <w:kern w:val="0"/>
          <w:sz w:val="32"/>
          <w:szCs w:val="32"/>
          <w:lang w:val="en-US" w:eastAsia="zh-CN" w:bidi="ar-SA"/>
        </w:rPr>
        <w:t>中医药专班--治未病科简介</w:t>
      </w:r>
    </w:p>
    <w:p>
      <w:pPr>
        <w:jc w:val="left"/>
        <w:rPr>
          <w:rFonts w:hint="eastAsia" w:ascii="宋体" w:hAnsi="宋体" w:eastAsia="宋体" w:cs="宋体"/>
          <w:b/>
          <w:bCs/>
          <w:snapToGrid w:val="0"/>
          <w:color w:val="000000"/>
          <w:spacing w:val="2"/>
          <w:kern w:val="0"/>
          <w:sz w:val="28"/>
          <w:szCs w:val="28"/>
          <w:lang w:val="en-US" w:eastAsia="zh-CN" w:bidi="ar-SA"/>
        </w:rPr>
      </w:pPr>
      <w:r>
        <w:rPr>
          <w:rFonts w:hint="eastAsia" w:ascii="宋体" w:hAnsi="宋体" w:eastAsia="宋体" w:cs="宋体"/>
          <w:b/>
          <w:bCs/>
          <w:snapToGrid w:val="0"/>
          <w:color w:val="000000"/>
          <w:spacing w:val="2"/>
          <w:kern w:val="0"/>
          <w:sz w:val="28"/>
          <w:szCs w:val="28"/>
          <w:lang w:val="en-US" w:eastAsia="zh-CN" w:bidi="ar-SA"/>
        </w:rPr>
        <w:t>一．治未病科简介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568" w:firstLineChars="200"/>
        <w:jc w:val="left"/>
        <w:textAlignment w:val="auto"/>
        <w:rPr>
          <w:rFonts w:hint="eastAsia" w:ascii="宋体" w:hAnsi="宋体" w:eastAsia="宋体" w:cs="宋体"/>
          <w:snapToGrid w:val="0"/>
          <w:color w:val="000000"/>
          <w:spacing w:val="2"/>
          <w:kern w:val="0"/>
          <w:sz w:val="28"/>
          <w:szCs w:val="28"/>
          <w:lang w:val="en-US" w:eastAsia="zh-CN" w:bidi="ar-SA"/>
        </w:rPr>
      </w:pPr>
      <w:r>
        <w:rPr>
          <w:rFonts w:hint="eastAsia" w:ascii="宋体" w:hAnsi="宋体" w:eastAsia="宋体" w:cs="宋体"/>
          <w:snapToGrid w:val="0"/>
          <w:color w:val="000000"/>
          <w:spacing w:val="2"/>
          <w:kern w:val="0"/>
          <w:sz w:val="28"/>
          <w:szCs w:val="28"/>
          <w:lang w:val="en-US" w:eastAsia="zh-CN" w:bidi="ar-SA"/>
        </w:rPr>
        <w:t>治未病科成立于2010年，是国家中医药管理局批准的广东省示范性 “治未病”试点单位之一，广东省中医药局“十三五”中医重点专科，广东省治未病服务等级评审5A级单位。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560" w:firstLineChars="200"/>
        <w:jc w:val="left"/>
        <w:textAlignment w:val="auto"/>
        <w:rPr>
          <w:rFonts w:hint="eastAsia" w:ascii="宋体" w:hAnsi="宋体" w:eastAsia="宋体" w:cs="宋体"/>
          <w:snapToGrid w:val="0"/>
          <w:color w:val="000000"/>
          <w:spacing w:val="2"/>
          <w:kern w:val="0"/>
          <w:sz w:val="28"/>
          <w:szCs w:val="28"/>
          <w:lang w:val="en-US" w:eastAsia="zh-CN" w:bidi="ar-SA"/>
        </w:rPr>
      </w:pPr>
      <w:r>
        <w:rPr>
          <w:rFonts w:hint="eastAsia" w:ascii="宋体" w:hAnsi="宋体" w:eastAsia="宋体" w:cs="宋体"/>
          <w:b w:val="0"/>
          <w:bCs/>
          <w:kern w:val="2"/>
          <w:sz w:val="28"/>
          <w:szCs w:val="28"/>
          <w:lang w:val="en-US" w:eastAsia="zh-CN" w:bidi="ar"/>
        </w:rPr>
        <w:t>科室按照《广东省中医“治未病”服务网络建设工作指导手册》的要求制定了完整的中医治未病服务方案流程并提供服务：包括健康状态信息采集→健康状态辨识及其风险评估→健康咨询与指导→健康干预→健康(慢病)管理。同时开展：中医体质辨识、闻音辨识、中医经络检测、脉图诊断、中医健康调养等中医特色诊疗项目。为广大患者提供个性化的辨体养生调理方案（包括饮食起居指导、药膳调理、经络调节、中药辨证调养等）及健康干预方案。</w:t>
      </w:r>
      <w:r>
        <w:rPr>
          <w:rFonts w:hint="eastAsia" w:ascii="宋体" w:hAnsi="宋体" w:eastAsia="宋体" w:cs="宋体"/>
          <w:snapToGrid w:val="0"/>
          <w:color w:val="000000"/>
          <w:spacing w:val="2"/>
          <w:kern w:val="0"/>
          <w:sz w:val="28"/>
          <w:szCs w:val="28"/>
          <w:lang w:val="en-US" w:eastAsia="zh-CN" w:bidi="ar-SA"/>
        </w:rPr>
        <w:t>是集中医健康评估、干预、宣教、随访为一体，具有中西医结合特色和优势的医、教、研、产全面发展的临床科室。</w:t>
      </w:r>
    </w:p>
    <w:p>
      <w:pPr>
        <w:pStyle w:val="2"/>
        <w:rPr>
          <w:rFonts w:hint="eastAsia" w:ascii="宋体" w:hAnsi="宋体" w:eastAsia="宋体" w:cs="宋体"/>
          <w:b/>
          <w:bCs/>
          <w:snapToGrid w:val="0"/>
          <w:color w:val="000000"/>
          <w:spacing w:val="2"/>
          <w:kern w:val="0"/>
          <w:sz w:val="28"/>
          <w:szCs w:val="28"/>
          <w:lang w:val="en-US" w:eastAsia="zh-CN" w:bidi="ar-SA"/>
        </w:rPr>
      </w:pPr>
      <w:r>
        <w:rPr>
          <w:rFonts w:hint="eastAsia" w:ascii="宋体" w:hAnsi="宋体" w:eastAsia="宋体" w:cs="宋体"/>
          <w:b/>
          <w:bCs/>
          <w:snapToGrid w:val="0"/>
          <w:color w:val="000000"/>
          <w:spacing w:val="2"/>
          <w:kern w:val="0"/>
          <w:sz w:val="28"/>
          <w:szCs w:val="28"/>
          <w:lang w:val="en-US" w:eastAsia="zh-CN" w:bidi="ar-SA"/>
        </w:rPr>
        <w:t>二．治未病科专家简介</w:t>
      </w:r>
    </w:p>
    <w:p>
      <w:pPr>
        <w:ind w:firstLine="570" w:firstLineChars="200"/>
        <w:jc w:val="left"/>
        <w:rPr>
          <w:rFonts w:hint="eastAsia" w:ascii="宋体" w:hAnsi="宋体" w:eastAsia="宋体" w:cs="宋体"/>
          <w:b/>
          <w:bCs/>
          <w:snapToGrid w:val="0"/>
          <w:color w:val="000000"/>
          <w:spacing w:val="2"/>
          <w:kern w:val="0"/>
          <w:sz w:val="28"/>
          <w:szCs w:val="28"/>
          <w:lang w:val="en-US" w:eastAsia="zh-CN" w:bidi="ar-SA"/>
        </w:rPr>
      </w:pPr>
      <w:r>
        <w:rPr>
          <w:rFonts w:hint="eastAsia" w:ascii="宋体" w:hAnsi="宋体" w:eastAsia="宋体" w:cs="宋体"/>
          <w:b/>
          <w:bCs/>
          <w:snapToGrid w:val="0"/>
          <w:color w:val="000000"/>
          <w:spacing w:val="2"/>
          <w:kern w:val="0"/>
          <w:sz w:val="28"/>
          <w:szCs w:val="28"/>
          <w:lang w:val="en-US" w:eastAsia="zh-CN" w:bidi="ar-SA"/>
        </w:rPr>
        <w:t>彭康：治未病科学术带头人</w:t>
      </w:r>
    </w:p>
    <w:p>
      <w:pPr>
        <w:ind w:firstLine="568" w:firstLineChars="200"/>
        <w:jc w:val="left"/>
        <w:rPr>
          <w:rFonts w:hint="eastAsia" w:ascii="宋体" w:hAnsi="宋体" w:eastAsia="宋体" w:cs="宋体"/>
          <w:snapToGrid w:val="0"/>
          <w:color w:val="000000"/>
          <w:spacing w:val="2"/>
          <w:kern w:val="0"/>
          <w:sz w:val="28"/>
          <w:szCs w:val="28"/>
          <w:lang w:val="en-US" w:eastAsia="zh-CN" w:bidi="ar-SA"/>
        </w:rPr>
      </w:pPr>
      <w:r>
        <w:rPr>
          <w:rFonts w:hint="eastAsia" w:ascii="宋体" w:hAnsi="宋体" w:eastAsia="宋体" w:cs="宋体"/>
          <w:snapToGrid w:val="0"/>
          <w:color w:val="000000"/>
          <w:spacing w:val="2"/>
          <w:kern w:val="0"/>
          <w:sz w:val="28"/>
          <w:szCs w:val="28"/>
          <w:lang w:val="en-US" w:eastAsia="zh-CN" w:bidi="ar-SA"/>
        </w:rPr>
        <w:t>广东省名中医、教授（中药学）、主任医师（中西医结合临床）、医学博士、博士生导师；第六批全国老中医药学术经验传承导师、全国名老中医药专家传承工作室建设项目专家；岭南名医、羊城好医生。</w:t>
      </w:r>
    </w:p>
    <w:p>
      <w:pPr>
        <w:ind w:firstLine="568" w:firstLineChars="200"/>
        <w:jc w:val="left"/>
        <w:rPr>
          <w:rFonts w:hint="eastAsia" w:ascii="宋体" w:hAnsi="宋体" w:eastAsia="宋体" w:cs="宋体"/>
          <w:snapToGrid w:val="0"/>
          <w:color w:val="000000"/>
          <w:spacing w:val="2"/>
          <w:kern w:val="0"/>
          <w:sz w:val="28"/>
          <w:szCs w:val="28"/>
          <w:lang w:val="en-US" w:eastAsia="zh-CN" w:bidi="ar-SA"/>
        </w:rPr>
      </w:pPr>
      <w:r>
        <w:rPr>
          <w:rFonts w:hint="eastAsia" w:ascii="宋体" w:hAnsi="宋体" w:eastAsia="宋体" w:cs="宋体"/>
          <w:snapToGrid w:val="0"/>
          <w:color w:val="000000"/>
          <w:spacing w:val="2"/>
          <w:kern w:val="0"/>
          <w:sz w:val="28"/>
          <w:szCs w:val="28"/>
          <w:lang w:val="en-US" w:eastAsia="zh-CN" w:bidi="ar-SA"/>
        </w:rPr>
        <w:t>世界中医药学会联合会中药调剂专业委员会副理事长、中国中医药信息学会慢性病管理分会副会长、中国中医药信息学会中药调配与监测分会副会长、广东省中医药学会常务理事、广东省中医药学会评审评价工作委员会副主任、广东省中医药学会老年病专业委员会副主任委员、广东省中医药学会血栓病专业委员会副主任委员、广东省保健协会中医治未病分会副主任委员。《中药药理与临床》常务编委、全国高等医学院校中医药类系列教材专家指导委员、广东省本科高校中西医临床医学专业教学指导委员。全国医学高等院校本科教材《中药学》第一版、第二版主编,全国高等学校中药临床药学专业创新教材《中药药性学》主编。</w:t>
      </w:r>
    </w:p>
    <w:p>
      <w:pPr>
        <w:ind w:firstLine="570" w:firstLineChars="200"/>
        <w:jc w:val="left"/>
        <w:rPr>
          <w:rFonts w:hint="eastAsia" w:ascii="宋体" w:hAnsi="宋体" w:eastAsia="宋体" w:cs="宋体"/>
          <w:b/>
          <w:bCs/>
          <w:snapToGrid w:val="0"/>
          <w:color w:val="000000"/>
          <w:spacing w:val="2"/>
          <w:kern w:val="0"/>
          <w:sz w:val="28"/>
          <w:szCs w:val="28"/>
          <w:lang w:val="en-US" w:eastAsia="zh-CN" w:bidi="ar-SA"/>
        </w:rPr>
      </w:pPr>
      <w:r>
        <w:rPr>
          <w:rFonts w:hint="eastAsia" w:ascii="宋体" w:hAnsi="宋体" w:eastAsia="宋体" w:cs="宋体"/>
          <w:b/>
          <w:bCs/>
          <w:snapToGrid w:val="0"/>
          <w:color w:val="000000"/>
          <w:spacing w:val="2"/>
          <w:kern w:val="0"/>
          <w:sz w:val="28"/>
          <w:szCs w:val="28"/>
          <w:lang w:val="en-US" w:eastAsia="zh-CN" w:bidi="ar-SA"/>
        </w:rPr>
        <w:t>廖荣鑫   治未病中心/老年病科主任</w:t>
      </w:r>
    </w:p>
    <w:p>
      <w:pPr>
        <w:pStyle w:val="2"/>
        <w:spacing w:line="360" w:lineRule="auto"/>
        <w:ind w:firstLine="472" w:firstLineChars="196"/>
        <w:rPr>
          <w:rFonts w:hint="eastAsia" w:ascii="宋体" w:hAnsi="宋体" w:eastAsia="宋体" w:cs="宋体"/>
          <w:snapToGrid w:val="0"/>
          <w:color w:val="000000"/>
          <w:spacing w:val="2"/>
          <w:kern w:val="0"/>
          <w:sz w:val="28"/>
          <w:szCs w:val="28"/>
          <w:lang w:val="en-US" w:eastAsia="zh-CN" w:bidi="ar-SA"/>
        </w:rPr>
      </w:pPr>
      <w:r>
        <w:rPr>
          <w:rFonts w:hint="eastAsia" w:ascii="宋体" w:hAnsi="宋体" w:eastAsia="宋体"/>
          <w:b/>
          <w:kern w:val="0"/>
          <w:sz w:val="24"/>
          <w:szCs w:val="24"/>
        </w:rPr>
        <w:t xml:space="preserve"> </w:t>
      </w:r>
      <w:r>
        <w:rPr>
          <w:rFonts w:hint="eastAsia" w:ascii="宋体" w:hAnsi="宋体" w:eastAsia="宋体" w:cs="宋体"/>
          <w:snapToGrid w:val="0"/>
          <w:color w:val="000000"/>
          <w:spacing w:val="2"/>
          <w:kern w:val="0"/>
          <w:sz w:val="28"/>
          <w:szCs w:val="28"/>
          <w:lang w:val="en-US" w:eastAsia="zh-CN" w:bidi="ar-SA"/>
        </w:rPr>
        <w:t>硕士研究生导师、副主任中医师、临床副研究员、羊城好医生、中医学博士、中西医结合临床双博士后。中央援港抗疫医疗队中医专家、广东省卫健委新冠救治中医专家组专家。</w:t>
      </w:r>
    </w:p>
    <w:p>
      <w:pPr>
        <w:pStyle w:val="2"/>
        <w:spacing w:line="360" w:lineRule="auto"/>
        <w:ind w:firstLine="556" w:firstLineChars="196"/>
        <w:rPr>
          <w:rFonts w:hint="eastAsia" w:ascii="宋体" w:hAnsi="宋体" w:eastAsia="宋体" w:cs="宋体"/>
          <w:snapToGrid w:val="0"/>
          <w:color w:val="000000"/>
          <w:spacing w:val="2"/>
          <w:kern w:val="0"/>
          <w:sz w:val="28"/>
          <w:szCs w:val="28"/>
          <w:lang w:val="en-US" w:eastAsia="zh-CN" w:bidi="ar-SA"/>
        </w:rPr>
      </w:pPr>
      <w:r>
        <w:rPr>
          <w:rFonts w:hint="eastAsia" w:ascii="宋体" w:hAnsi="宋体" w:eastAsia="宋体" w:cs="宋体"/>
          <w:snapToGrid w:val="0"/>
          <w:color w:val="000000"/>
          <w:spacing w:val="2"/>
          <w:kern w:val="0"/>
          <w:sz w:val="28"/>
          <w:szCs w:val="28"/>
          <w:lang w:val="en-US" w:eastAsia="zh-CN" w:bidi="ar-SA"/>
        </w:rPr>
        <w:t>现任广东省老年保健协会老年病中西医结合防治专业委员会主任委员、广东省传统医学会老年病专业委员会副主任委员、广东省社区卫生学会中医药与适宜技术专业委员会副主任委员、广东省中医药学会全科医学专业委员会常委兼秘书、广东省中医药学会亚健康专委会常委、广州市海珠区老年医养结合质量专家委员会委员等。</w:t>
      </w:r>
    </w:p>
    <w:p>
      <w:pPr>
        <w:ind w:firstLine="570" w:firstLineChars="200"/>
        <w:jc w:val="left"/>
        <w:rPr>
          <w:rFonts w:hint="eastAsia" w:ascii="宋体" w:hAnsi="宋体" w:eastAsia="宋体" w:cs="宋体"/>
          <w:b/>
          <w:bCs/>
          <w:snapToGrid w:val="0"/>
          <w:color w:val="000000"/>
          <w:spacing w:val="2"/>
          <w:kern w:val="0"/>
          <w:sz w:val="28"/>
          <w:szCs w:val="28"/>
          <w:lang w:val="en-US" w:eastAsia="zh-CN" w:bidi="ar-SA"/>
        </w:rPr>
      </w:pPr>
      <w:r>
        <w:rPr>
          <w:rFonts w:hint="eastAsia" w:ascii="宋体" w:hAnsi="宋体" w:eastAsia="宋体" w:cs="宋体"/>
          <w:b/>
          <w:bCs/>
          <w:snapToGrid w:val="0"/>
          <w:color w:val="000000"/>
          <w:spacing w:val="2"/>
          <w:kern w:val="0"/>
          <w:sz w:val="28"/>
          <w:szCs w:val="28"/>
          <w:lang w:val="en-US" w:eastAsia="zh-CN" w:bidi="ar-SA"/>
        </w:rPr>
        <w:t>文小敏：治未病中心学科带头人</w:t>
      </w:r>
    </w:p>
    <w:p>
      <w:pPr>
        <w:ind w:firstLine="568" w:firstLineChars="200"/>
        <w:jc w:val="left"/>
        <w:rPr>
          <w:rFonts w:hint="eastAsia" w:ascii="宋体" w:hAnsi="宋体" w:eastAsia="宋体" w:cs="宋体"/>
          <w:snapToGrid w:val="0"/>
          <w:color w:val="000000"/>
          <w:spacing w:val="2"/>
          <w:kern w:val="0"/>
          <w:sz w:val="28"/>
          <w:szCs w:val="28"/>
          <w:lang w:val="en-US" w:eastAsia="zh-CN" w:bidi="ar-SA"/>
        </w:rPr>
      </w:pPr>
      <w:r>
        <w:rPr>
          <w:rFonts w:hint="eastAsia" w:ascii="宋体" w:hAnsi="宋体" w:eastAsia="宋体" w:cs="宋体"/>
          <w:snapToGrid w:val="0"/>
          <w:color w:val="000000"/>
          <w:spacing w:val="2"/>
          <w:kern w:val="0"/>
          <w:sz w:val="28"/>
          <w:szCs w:val="28"/>
          <w:lang w:val="en-US" w:eastAsia="zh-CN" w:bidi="ar-SA"/>
        </w:rPr>
        <w:t>主任中医师，医学博士，硕士生导师，全国第三批中医临床优秀人才，广东省中医药局重点专病胃肠病的学术带头人，广东省第二批中医师承制指导老师，第二届羊城好医生。</w:t>
      </w:r>
    </w:p>
    <w:p>
      <w:pPr>
        <w:ind w:firstLine="568" w:firstLineChars="200"/>
        <w:jc w:val="left"/>
        <w:rPr>
          <w:rFonts w:hint="eastAsia" w:ascii="宋体" w:hAnsi="宋体" w:eastAsia="宋体" w:cs="宋体"/>
          <w:snapToGrid w:val="0"/>
          <w:color w:val="000000"/>
          <w:spacing w:val="2"/>
          <w:kern w:val="0"/>
          <w:sz w:val="28"/>
          <w:szCs w:val="28"/>
          <w:lang w:val="en-US" w:eastAsia="zh-CN" w:bidi="ar-SA"/>
        </w:rPr>
      </w:pPr>
      <w:r>
        <w:rPr>
          <w:rFonts w:hint="eastAsia" w:ascii="宋体" w:hAnsi="宋体" w:eastAsia="宋体" w:cs="宋体"/>
          <w:snapToGrid w:val="0"/>
          <w:color w:val="000000"/>
          <w:spacing w:val="2"/>
          <w:kern w:val="0"/>
          <w:sz w:val="28"/>
          <w:szCs w:val="28"/>
          <w:lang w:val="en-US" w:eastAsia="zh-CN" w:bidi="ar-SA"/>
        </w:rPr>
        <w:t>现任中华中医药学会治未病分会第二届委员会常务委员，中华中医药学会感染病分会第七届委员会常务委员，广东省中医药学会疫病（温病）专业委员会第一届委员会副主任委员，广东省中西医结合学会感染病（热病）专业委员会第六届委员会副主任委员，广东省保健协会中医治未病分会第二届副主任委员，广东省中医药学会老年病专业委员会第二届委员会常务委员。</w:t>
      </w:r>
    </w:p>
    <w:p>
      <w:pPr>
        <w:pStyle w:val="2"/>
        <w:numPr>
          <w:ilvl w:val="0"/>
          <w:numId w:val="1"/>
        </w:numPr>
        <w:rPr>
          <w:rFonts w:hint="eastAsia" w:ascii="宋体" w:hAnsi="宋体" w:eastAsia="宋体" w:cs="宋体"/>
          <w:b/>
          <w:bCs/>
          <w:snapToGrid w:val="0"/>
          <w:color w:val="000000"/>
          <w:spacing w:val="2"/>
          <w:kern w:val="0"/>
          <w:sz w:val="28"/>
          <w:szCs w:val="28"/>
          <w:lang w:val="en-US" w:eastAsia="zh-CN" w:bidi="ar-SA"/>
        </w:rPr>
      </w:pPr>
      <w:r>
        <w:rPr>
          <w:rFonts w:hint="eastAsia" w:ascii="宋体" w:hAnsi="宋体" w:eastAsia="宋体" w:cs="宋体"/>
          <w:b/>
          <w:bCs/>
          <w:snapToGrid w:val="0"/>
          <w:color w:val="000000"/>
          <w:spacing w:val="2"/>
          <w:kern w:val="0"/>
          <w:sz w:val="28"/>
          <w:szCs w:val="28"/>
          <w:lang w:val="en-US" w:eastAsia="zh-CN" w:bidi="ar-SA"/>
        </w:rPr>
        <w:t>科室特色服务及技术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outlineLvl w:val="1"/>
        <w:rPr>
          <w:rFonts w:hint="eastAsia" w:ascii="宋体" w:hAnsi="宋体" w:eastAsia="宋体" w:cs="宋体"/>
          <w:b w:val="0"/>
          <w:bCs/>
          <w:kern w:val="2"/>
          <w:sz w:val="28"/>
          <w:szCs w:val="28"/>
          <w:lang w:val="en-US" w:eastAsia="zh-CN" w:bidi="ar"/>
        </w:rPr>
      </w:pPr>
      <w:r>
        <w:rPr>
          <w:rFonts w:hint="eastAsia" w:ascii="宋体" w:hAnsi="宋体" w:eastAsia="宋体" w:cs="宋体"/>
          <w:b w:val="0"/>
          <w:bCs/>
          <w:kern w:val="2"/>
          <w:sz w:val="28"/>
          <w:szCs w:val="28"/>
          <w:lang w:val="en-US" w:eastAsia="zh-CN" w:bidi="ar"/>
        </w:rPr>
        <w:t>（1）中医体质辨识服务：</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依据中华中医药学会颁发的《中医体质分类与判定》标准，运用</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现代计算机技术和标准化技术，按照中医“十问”顺序，完整，全面的采集问诊的相关信息。以调查问卷的形式对9种体质进行辨识，得出测量者的体质类型、体质特征、环境适应力等信息。通过体质辨识，给出个性化的养生调理方案，包括：饮食调理、药物调理、运动调理及食疗食谱等。</w:t>
      </w:r>
    </w:p>
    <w:p>
      <w:pPr>
        <w:outlineLvl w:val="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（2）闻音辨识服务：</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传统医学“治未病”思想为基础，依据《黄帝内经》“阴阳二十五型人”学说，运用中国古代“五行”和“律学”理论，结合现代物理声学、数理工程等相关技术，对不同个体人的脏腑经络功能状态进行辨识、评估，闻音辨识后，系统分析所属五音何种状态，对应经络情况。并提供具体的经络调理、膳食调理、音乐调理、情志调理等方面调理方案。</w:t>
      </w:r>
    </w:p>
    <w:p>
      <w:pPr>
        <w:numPr>
          <w:ilvl w:val="0"/>
          <w:numId w:val="0"/>
        </w:numPr>
        <w:ind w:leftChars="0"/>
        <w:outlineLvl w:val="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（3）中医经络检测服务：</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经络是人体气血运行的通路，内属于脏腑，外布于全身，将各部组织、器官联结成为一个有机的整体。经络检测仪采用全息象定位检测仪，根据中医的人体经络学说，通过对人体十二经络的二十四个穴位的探测，测定人体的五脏六腑、皮下、组织、细胞等状态，观察整个身体的健康情况。通过经络辨识，给出个性化的养生调理方案。</w:t>
      </w:r>
    </w:p>
    <w:p>
      <w:pPr>
        <w:outlineLvl w:val="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（4）中医脉图诊断服务：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融合现代科技成果以及中医专家临床经验，将中医舌诊、面诊、脉诊、问诊等子系统整合，自动辨识体质并开展个体化中医养生干预</w:t>
      </w:r>
    </w:p>
    <w:p>
      <w:pPr>
        <w:rPr>
          <w:rFonts w:hint="eastAsia" w:ascii="宋体" w:hAnsi="宋体" w:eastAsia="宋体" w:cs="宋体"/>
          <w:sz w:val="28"/>
          <w:szCs w:val="28"/>
        </w:rPr>
      </w:pPr>
      <w:r>
        <w:rPr>
          <w:rFonts w:hint="eastAsia" w:ascii="宋体" w:hAnsi="宋体" w:eastAsia="宋体" w:cs="宋体"/>
          <w:sz w:val="28"/>
          <w:szCs w:val="28"/>
        </w:rPr>
        <w:t>服务。由中医师或在中医师指导下，进行舌象、面色、脉象诊测信息采集及辅助体质辨识，供中医辨证参考。综合四诊信息，进行中医健康状态辨识，支持开展个体化中医健康管理服务。</w:t>
      </w:r>
    </w:p>
    <w:p>
      <w:pPr>
        <w:outlineLvl w:val="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（5）超声骨密度检测服务：</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是超声诊断学范畴中的一项专门技术，主要利用骨质对超声衰减度(BUA)和声速(SOS)的变化来进行无创、无损、无辐射检测人体</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"https://baike.so.com/doc/6172935-6386175.html" \t "https://baike.so.com/doc/_blank"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骨密度</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骨强度等生理学参数， 对儿童生理发育，老人骨损骨折风险的预防有很大的参考价值和指导价值，为骨质疏松疾病提供一种无创的诊断手段。</w:t>
      </w:r>
    </w:p>
    <w:p>
      <w:pPr>
        <w:numPr>
          <w:ilvl w:val="0"/>
          <w:numId w:val="0"/>
        </w:numPr>
        <w:jc w:val="left"/>
        <w:outlineLvl w:val="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lang w:eastAsia="zh-CN"/>
        </w:rPr>
        <w:t>）体质调养</w:t>
      </w:r>
    </w:p>
    <w:p>
      <w:pPr>
        <w:numPr>
          <w:ilvl w:val="0"/>
          <w:numId w:val="0"/>
        </w:numPr>
        <w:ind w:firstLine="560" w:firstLineChars="200"/>
        <w:outlineLvl w:val="0"/>
        <w:rPr>
          <w:rFonts w:hint="eastAsia" w:ascii="宋体" w:hAnsi="宋体" w:eastAsia="宋体" w:cs="宋体"/>
          <w:b/>
          <w:bCs/>
          <w:sz w:val="28"/>
          <w:szCs w:val="28"/>
          <w:lang w:val="en-US" w:eastAsia="zh-CN"/>
        </w:rPr>
      </w:pPr>
      <w:r>
        <w:rPr>
          <w:rFonts w:hint="eastAsia" w:ascii="宋体" w:hAnsi="宋体" w:eastAsia="宋体" w:cs="宋体"/>
          <w:color w:val="000000"/>
          <w:sz w:val="28"/>
          <w:szCs w:val="28"/>
        </w:rPr>
        <w:t>根据服务对象的健康状态辨识及其风险评估结果，制定健康干预方案，指导服务对象进行健康干预，接受服务对象的健康咨询，为服务对象量身打造一整套个性化的调养方案，包括膳食食疗、起居调养、情志调节、养生功法、保健技术等。</w:t>
      </w:r>
    </w:p>
    <w:p>
      <w:pPr>
        <w:numPr>
          <w:ilvl w:val="0"/>
          <w:numId w:val="0"/>
        </w:numPr>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目前向9种中医体质人群（平和质、气虚质、阳虚质、阴虚质、湿热质、痰湿质、气郁质、血瘀质、特禀质）及11种特定健康状态人群（睡眠失调人群、焦虑抑郁人群、更年期综合征、肥胖人群、胃肠不适人群、腰腿不适人群、肩颈不适人群、高尿酸血症人群、糖尿病人群、高血压人群、骨质疏松人群）提供中医“治未病”健康咨询指导及调养服务。指导方案包括：起居、饮食、生活方式、情志、自我保健疗法、保健功法等六方面内容。通过随访及定期评估的方式</w:t>
      </w:r>
    </w:p>
    <w:p>
      <w:pPr>
        <w:numPr>
          <w:ilvl w:val="0"/>
          <w:numId w:val="0"/>
        </w:numP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来进行干预人群的疗效评价，并及时调整调养方案。</w:t>
      </w:r>
    </w:p>
    <w:p>
      <w:pPr>
        <w:pStyle w:val="2"/>
        <w:rPr>
          <w:rFonts w:hint="eastAsia"/>
          <w:lang w:val="en-US" w:eastAsia="zh-CN"/>
        </w:rPr>
      </w:pPr>
      <w:r>
        <w:rPr>
          <w:rFonts w:hint="eastAsia" w:ascii="宋体" w:hAnsi="宋体" w:eastAsia="宋体" w:cs="宋体"/>
          <w:b w:val="0"/>
          <w:bCs w:val="0"/>
          <w:sz w:val="28"/>
          <w:szCs w:val="28"/>
          <w:lang w:val="en-US" w:eastAsia="zh-CN"/>
        </w:rPr>
        <w:t>（7）中医非药物传统疗法</w:t>
      </w:r>
    </w:p>
    <w:p>
      <w:pPr>
        <w:numPr>
          <w:ilvl w:val="0"/>
          <w:numId w:val="0"/>
        </w:numPr>
        <w:ind w:leftChars="0"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治未病科可为广大群众提供</w:t>
      </w:r>
      <w:r>
        <w:rPr>
          <w:rFonts w:hint="eastAsia" w:ascii="宋体" w:hAnsi="宋体" w:eastAsia="宋体" w:cs="宋体"/>
          <w:color w:val="000000"/>
          <w:sz w:val="28"/>
          <w:szCs w:val="28"/>
        </w:rPr>
        <w:t>各种中医特色的健康干预服务</w:t>
      </w:r>
      <w:r>
        <w:rPr>
          <w:rFonts w:hint="eastAsia" w:ascii="宋体" w:hAnsi="宋体" w:eastAsia="宋体" w:cs="宋体"/>
          <w:color w:val="000000"/>
          <w:sz w:val="28"/>
          <w:szCs w:val="28"/>
          <w:lang w:eastAsia="zh-CN"/>
        </w:rPr>
        <w:t>，目前有</w:t>
      </w:r>
      <w:r>
        <w:rPr>
          <w:rFonts w:hint="eastAsia" w:ascii="宋体" w:hAnsi="宋体" w:eastAsia="宋体" w:cs="宋体"/>
          <w:b w:val="0"/>
          <w:bCs w:val="0"/>
          <w:sz w:val="28"/>
          <w:szCs w:val="28"/>
          <w:lang w:val="en-US" w:eastAsia="zh-CN"/>
        </w:rPr>
        <w:t>针刺、灸法、拔罐、推拿、穴位贴敷、熏洗（蒸）、刮痧、音疗、热疗、电疗、针刀疗法、穴位注射、耳穴压豆、牵引14种特色干预服务。</w:t>
      </w:r>
    </w:p>
    <w:p>
      <w:pPr>
        <w:pStyle w:val="2"/>
        <w:numPr>
          <w:ilvl w:val="0"/>
          <w:numId w:val="2"/>
        </w:numP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膏方调养</w:t>
      </w:r>
    </w:p>
    <w:p>
      <w:pPr>
        <w:numPr>
          <w:ilvl w:val="0"/>
          <w:numId w:val="0"/>
        </w:numPr>
        <w:ind w:firstLine="560" w:firstLineChars="20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膏方，又名膏剂，是中药的剂型之一，是一种具有营养滋补和治疗预防综合作用的成药。膏方有良好的滋补功效，可调补人的精、气、神，增强体力，提高工作效率，抗衰老延年益寿，达到治病强身的目的。目前科室研发8种偏颇体质调养膏方及肿瘤患者扶正固本膏，并可根据患者需求制定个体膏方。</w:t>
      </w:r>
      <w:bookmarkStart w:id="0" w:name="_GoBack"/>
      <w:bookmarkEnd w:id="0"/>
    </w:p>
    <w:p>
      <w:pPr>
        <w:pStyle w:val="3"/>
        <w:numPr>
          <w:numId w:val="0"/>
        </w:numPr>
        <w:jc w:val="both"/>
        <w:rPr>
          <w:rFonts w:hint="eastAsia"/>
          <w:lang w:val="en-US" w:eastAsia="zh-CN"/>
        </w:rPr>
      </w:pPr>
    </w:p>
    <w:p>
      <w:pPr>
        <w:pStyle w:val="2"/>
        <w:numPr>
          <w:numId w:val="0"/>
        </w:numPr>
        <w:rPr>
          <w:rFonts w:hint="eastAsia" w:ascii="宋体" w:hAnsi="宋体" w:eastAsia="宋体" w:cs="宋体"/>
          <w:b/>
          <w:bCs/>
          <w:snapToGrid w:val="0"/>
          <w:color w:val="000000"/>
          <w:spacing w:val="2"/>
          <w:kern w:val="0"/>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23D922"/>
    <w:multiLevelType w:val="singleLevel"/>
    <w:tmpl w:val="F323D922"/>
    <w:lvl w:ilvl="0" w:tentative="0">
      <w:start w:val="3"/>
      <w:numFmt w:val="chineseCounting"/>
      <w:suff w:val="nothing"/>
      <w:lvlText w:val="%1、"/>
      <w:lvlJc w:val="left"/>
      <w:rPr>
        <w:rFonts w:hint="eastAsia"/>
      </w:rPr>
    </w:lvl>
  </w:abstractNum>
  <w:abstractNum w:abstractNumId="1">
    <w:nsid w:val="F94A2D72"/>
    <w:multiLevelType w:val="singleLevel"/>
    <w:tmpl w:val="F94A2D72"/>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MjE2YWE0NDRjZWRiODBmNmUyZDgzMjczYjI2ODAifQ=="/>
  </w:docVars>
  <w:rsids>
    <w:rsidRoot w:val="00000000"/>
    <w:rsid w:val="00EB60B2"/>
    <w:rsid w:val="017F7035"/>
    <w:rsid w:val="043E241F"/>
    <w:rsid w:val="07177C01"/>
    <w:rsid w:val="08E343F0"/>
    <w:rsid w:val="0AE53B72"/>
    <w:rsid w:val="0C373551"/>
    <w:rsid w:val="0FFE195E"/>
    <w:rsid w:val="108B0D18"/>
    <w:rsid w:val="11FD79F3"/>
    <w:rsid w:val="128F0F6B"/>
    <w:rsid w:val="15C74F71"/>
    <w:rsid w:val="1C890A18"/>
    <w:rsid w:val="220426D8"/>
    <w:rsid w:val="24C525F3"/>
    <w:rsid w:val="26296BB1"/>
    <w:rsid w:val="28DB23E5"/>
    <w:rsid w:val="29820AB2"/>
    <w:rsid w:val="2AED63FF"/>
    <w:rsid w:val="2BE434C8"/>
    <w:rsid w:val="2DCE2518"/>
    <w:rsid w:val="30A6152A"/>
    <w:rsid w:val="34C93A39"/>
    <w:rsid w:val="387F3FB0"/>
    <w:rsid w:val="3B255741"/>
    <w:rsid w:val="3EDA6843"/>
    <w:rsid w:val="43D00AAF"/>
    <w:rsid w:val="44D46B3E"/>
    <w:rsid w:val="4DA66D67"/>
    <w:rsid w:val="51281690"/>
    <w:rsid w:val="561F12B3"/>
    <w:rsid w:val="59927FEE"/>
    <w:rsid w:val="5B2630E4"/>
    <w:rsid w:val="5B3A26EB"/>
    <w:rsid w:val="5DF63241"/>
    <w:rsid w:val="60AE3960"/>
    <w:rsid w:val="60AF1486"/>
    <w:rsid w:val="60E6695F"/>
    <w:rsid w:val="62744735"/>
    <w:rsid w:val="633714BA"/>
    <w:rsid w:val="6C082C6F"/>
    <w:rsid w:val="6E5D4C17"/>
    <w:rsid w:val="70DC1E23"/>
    <w:rsid w:val="740A314B"/>
    <w:rsid w:val="75AA17D7"/>
    <w:rsid w:val="772462D2"/>
    <w:rsid w:val="779E42D6"/>
    <w:rsid w:val="79CA6EDF"/>
    <w:rsid w:val="7C176405"/>
    <w:rsid w:val="7F9E3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仿宋" w:hAnsi="仿宋" w:eastAsia="仿宋" w:cs="仿宋"/>
      <w:sz w:val="31"/>
      <w:szCs w:val="31"/>
      <w:lang w:val="en-US" w:eastAsia="en-US" w:bidi="ar-SA"/>
    </w:rPr>
  </w:style>
  <w:style w:type="paragraph" w:styleId="3">
    <w:name w:val="Title"/>
    <w:basedOn w:val="1"/>
    <w:next w:val="1"/>
    <w:qFormat/>
    <w:uiPriority w:val="10"/>
    <w:pPr>
      <w:keepNext w:val="0"/>
      <w:keepLines w:val="0"/>
      <w:widowControl w:val="0"/>
      <w:suppressLineNumbers w:val="0"/>
      <w:spacing w:before="240" w:beforeAutospacing="0" w:after="60" w:afterAutospacing="0"/>
      <w:ind w:firstLineChars="0"/>
      <w:jc w:val="center"/>
      <w:textAlignment w:val="baseline"/>
    </w:pPr>
    <w:rPr>
      <w:rFonts w:hint="default" w:ascii="Cambria" w:hAnsi="Cambria" w:eastAsia="宋体" w:cs="Times New Roman"/>
      <w:b/>
      <w:kern w:val="2"/>
      <w:sz w:val="32"/>
      <w:szCs w:val="32"/>
      <w:lang w:val="en-US" w:eastAsia="zh-CN" w:bidi="ar"/>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000000"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customStyle="1" w:styleId="9">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2542</Words>
  <Characters>2570</Characters>
  <Lines>0</Lines>
  <Paragraphs>0</Paragraphs>
  <TotalTime>10</TotalTime>
  <ScaleCrop>false</ScaleCrop>
  <LinksUpToDate>false</LinksUpToDate>
  <CharactersWithSpaces>2572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2024-05-27T00:11:00Z</dcterms:created>
  <dc:creator>Administrator</dc:creator>
  <cp:lastModifiedBy>薇蓝</cp:lastModifiedBy>
  <dcterms:modified xsi:type="dcterms:W3CDTF">2024-05-28T00:55:47Z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03C727404991447ABB0C77440CAD0D1A_12</vt:lpwstr>
  </property>
</Properties>
</file>